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  <w:insideH w:val="outset" w:sz="2" w:space="0" w:color="000000"/>
          <w:insideV w:val="outset" w:sz="2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1152"/>
        <w:gridCol w:w="4916"/>
        <w:gridCol w:w="302"/>
        <w:gridCol w:w="2798"/>
      </w:tblGrid>
      <w:tr>
        <w:trPr>
          <w:trHeight w:val="1727" w:hRule="atLeast"/>
        </w:trPr>
        <w:tc>
          <w:tcPr>
            <w:tcW w:w="115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</w:tcPr>
          <w:p>
            <w:pPr>
              <w:pStyle w:val="Normal1"/>
              <w:spacing w:lineRule="auto" w:line="240" w:before="100" w:after="10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/>
            </w:pP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PERIGUEUX</w:t>
            </w:r>
            <w:r>
              <w:rPr>
                <w:rStyle w:val="Policepardfaut"/>
                <w:rFonts w:ascii="Times New Roman" w:hAnsi="Times New Roman"/>
                <w:color w:val="C00000"/>
                <w:sz w:val="20"/>
                <w:szCs w:val="20"/>
              </w:rPr>
              <w:t>-</w:t>
            </w: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NONTRON</w:t>
            </w:r>
          </w:p>
        </w:tc>
        <w:tc>
          <w:tcPr>
            <w:tcW w:w="491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2"/>
                <w:sz w:val="24"/>
                <w:szCs w:val="24"/>
              </w:rPr>
              <w:t>Contacts :</w:t>
            </w:r>
          </w:p>
          <w:p>
            <w:pPr>
              <w:pStyle w:val="Normal1"/>
              <w:spacing w:lineRule="auto" w:line="240" w:before="0" w:after="0"/>
              <w:rPr/>
            </w:pPr>
            <w:hyperlink r:id="rId3" w:tgtFrame="_top">
              <w:r>
                <w:rPr>
                  <w:rStyle w:val="Policepardfaut"/>
                  <w:rFonts w:cs="Arial" w:ascii="Arial" w:hAnsi="Arial"/>
                  <w:color w:val="002060"/>
                  <w:u w:val="single"/>
                </w:rPr>
                <w:t>perigueux@attac.org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4" w:tgtFrame="_top">
              <w:r>
                <w:rPr>
                  <w:rStyle w:val="Lienhypertexte"/>
                  <w:rFonts w:cs="Arial" w:ascii="Arial" w:hAnsi="Arial"/>
                  <w:color w:val="002060"/>
                </w:rPr>
                <w:t>http://local.attac.org/attac24/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5" w:tgtFrame="_top">
              <w:r>
                <w:rPr>
                  <w:rStyle w:val="Lienhypertexte"/>
                  <w:rFonts w:cs="Arial" w:ascii="Arial" w:hAnsi="Arial"/>
                  <w:color w:val="002060"/>
                </w:rPr>
                <w:t>https://www.facebook.com/attac.perigueux.nontron</w:t>
              </w:r>
            </w:hyperlink>
          </w:p>
        </w:tc>
        <w:tc>
          <w:tcPr>
            <w:tcW w:w="30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9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  <w:kern w:val="2"/>
              </w:rPr>
              <w:t>Il s’agit tout simplement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de se réapproprier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ensemble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l’avenir de notre monde</w:t>
            </w:r>
          </w:p>
        </w:tc>
      </w:tr>
    </w:tbl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>
          <w:vanish/>
        </w:rPr>
      </w:pPr>
      <w:r>
        <w:rPr>
          <w:vanish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left="0" w:right="142" w:hanging="0"/>
        <w:jc w:val="center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left="0" w:right="142" w:hanging="0"/>
        <w:jc w:val="center"/>
        <w:rPr/>
      </w:pP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Compte rendu 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c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onseil d’administration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4 février 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2020</w:t>
      </w:r>
    </w:p>
    <w:p>
      <w:pPr>
        <w:pStyle w:val="Normal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left="0" w:right="142" w:hanging="0"/>
        <w:jc w:val="center"/>
        <w:rPr/>
      </w:pPr>
      <w:r>
        <w:rPr/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Présents:</w:t>
      </w:r>
      <w:r>
        <w:rPr>
          <w:rStyle w:val="Policepardfaut"/>
          <w:rFonts w:cs="Arial" w:ascii="Arial" w:hAnsi="Arial"/>
        </w:rPr>
        <w:t xml:space="preserve"> Michel Bastide, Jean Lalanne, Claude Micmacher, Christian Naudet, Jean-Francis Parisis, Brigitte Savary</w:t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color w:val="C00000"/>
          <w:sz w:val="24"/>
          <w:szCs w:val="24"/>
          <w:highlight w:val="red"/>
        </w:rPr>
        <w:t>1 / Préparation de l’assemblée générale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 xml:space="preserve">Thierry Brugvin, membre du conseil scientifique d’Attac, interviendra dans le cadre d’une conférence-débat, à l’occasion de la sortie de son livre </w:t>
      </w:r>
      <w:r>
        <w:rPr>
          <w:rStyle w:val="Policepardfaut"/>
          <w:rFonts w:cs="Arial" w:ascii="Arial" w:hAnsi="Arial"/>
          <w:b/>
          <w:bCs/>
        </w:rPr>
        <w:t>«</w:t>
      </w:r>
      <w:r>
        <w:rPr>
          <w:rStyle w:val="Policepardfaut"/>
          <w:rFonts w:cs="Arial" w:ascii="Arial" w:hAnsi="Arial"/>
          <w:bCs/>
        </w:rPr>
        <w:t xml:space="preserve"> </w:t>
      </w:r>
      <w:r>
        <w:rPr>
          <w:rStyle w:val="Policepardfaut"/>
          <w:rFonts w:cs="Arial" w:ascii="Arial" w:hAnsi="Arial"/>
          <w:b/>
          <w:bCs/>
        </w:rPr>
        <w:t>Qui dirige le monde ? La finance, l’idéologie, la psychologie...?</w:t>
      </w:r>
      <w:r>
        <w:rPr>
          <w:rStyle w:val="Policepardfaut"/>
          <w:rFonts w:cs="Arial" w:ascii="Arial" w:hAnsi="Arial"/>
          <w:bCs/>
        </w:rPr>
        <w:t> »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Cs/>
        </w:rPr>
        <w:t xml:space="preserve">Compte tenu de ses disponibilités il a été décidé de fixer au </w:t>
      </w:r>
      <w:r>
        <w:rPr>
          <w:rStyle w:val="Policepardfaut"/>
          <w:rFonts w:cs="Arial" w:ascii="Arial" w:hAnsi="Arial"/>
          <w:b/>
          <w:bCs/>
        </w:rPr>
        <w:t>vendredi 3 avril l’assemblée générale,</w:t>
      </w:r>
      <w:r>
        <w:rPr>
          <w:rStyle w:val="Policepardfaut"/>
          <w:rFonts w:cs="Arial" w:ascii="Arial" w:hAnsi="Arial"/>
          <w:bCs/>
        </w:rPr>
        <w:t xml:space="preserve"> selon le programme suivant :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- AG à 18 heures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- Buffet partagé à 19 heures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Cs/>
        </w:rPr>
        <w:t>- Intervention de Thierry Brugvin à partir de 20 heures.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red"/>
        </w:rPr>
      </w:pPr>
      <w:r>
        <w:rPr>
          <w:rFonts w:cs="Arial" w:ascii="Arial" w:hAnsi="Arial"/>
          <w:b/>
          <w:color w:val="C00000"/>
          <w:sz w:val="24"/>
          <w:szCs w:val="24"/>
          <w:highlight w:val="red"/>
        </w:rPr>
        <w:t>2/ Actions en cours d’ATTAC France 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Mobilisations contre la réforme des retraites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Luttes contre les implantations locales d’Amazon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Luttes contre BlackRock et les organismes qui vendent des produits d’épargne-retraite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Soutien à la lutte de Combat Monsanto contre les « OGM cachés »</w:t>
      </w:r>
      <w:bookmarkStart w:id="0" w:name="_GoBack"/>
      <w:bookmarkEnd w:id="0"/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Actions pour mettre fin à l’impunité des multinationales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- Actions diverses pour la justice sociale et climatique.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color w:val="C00000"/>
          <w:highlight w:val="red"/>
        </w:rPr>
        <w:t xml:space="preserve">3/ </w:t>
      </w:r>
      <w:r>
        <w:rPr>
          <w:rStyle w:val="Policepardfaut"/>
          <w:rFonts w:cs="Arial" w:ascii="Arial" w:hAnsi="Arial"/>
          <w:b/>
          <w:color w:val="C00000"/>
          <w:sz w:val="24"/>
          <w:szCs w:val="24"/>
          <w:highlight w:val="red"/>
        </w:rPr>
        <w:t>Quelques rencontres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highlight w:val="red"/>
        </w:rPr>
      </w:pPr>
      <w:r>
        <w:rPr>
          <w:rFonts w:cs="Arial" w:ascii="Arial" w:hAnsi="Arial"/>
          <w:b/>
          <w:color w:val="C00000"/>
          <w:highlight w:val="red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</w:rPr>
        <w:t xml:space="preserve">- </w:t>
      </w:r>
      <w:r>
        <w:rPr>
          <w:rStyle w:val="Policepardfaut"/>
          <w:rFonts w:cs="Arial" w:ascii="Arial" w:hAnsi="Arial"/>
          <w:b/>
        </w:rPr>
        <w:t>Interventions du juge Alain Bressy</w:t>
      </w:r>
      <w:r>
        <w:rPr>
          <w:rStyle w:val="Policepardfaut"/>
          <w:rFonts w:cs="Arial" w:ascii="Arial" w:hAnsi="Arial"/>
        </w:rPr>
        <w:t> (« Le droit se meurt ») vendredi 14 février (à 20 heures à Bergerac, « Chez Albert ») et lundi 17 février à 20h à Trélissac. 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</w:rPr>
        <w:t xml:space="preserve">- </w:t>
      </w:r>
      <w:r>
        <w:rPr>
          <w:rStyle w:val="Policepardfaut"/>
          <w:rFonts w:cs="Arial" w:ascii="Arial" w:hAnsi="Arial"/>
          <w:b/>
        </w:rPr>
        <w:t>Programme prévisionnel de l’écocentre à Saint-Pierre-de-Frugie</w:t>
      </w:r>
      <w:r>
        <w:rPr>
          <w:rStyle w:val="Policepardfaut"/>
          <w:rFonts w:cs="Arial" w:ascii="Arial" w:hAnsi="Arial"/>
        </w:rPr>
        <w:t> : ateliers avec Thierry Brugvin les 4 et 5 avril, intervention de Pablo Servigne (l’autre loi de la jungle : la solidarité) le 1</w:t>
      </w:r>
      <w:r>
        <w:rPr>
          <w:rStyle w:val="Policepardfaut"/>
          <w:rFonts w:cs="Arial" w:ascii="Arial" w:hAnsi="Arial"/>
          <w:position w:val="22"/>
          <w:sz w:val="14"/>
        </w:rPr>
        <w:t>er</w:t>
      </w:r>
      <w:r>
        <w:rPr>
          <w:rStyle w:val="Policepardfaut"/>
          <w:rFonts w:cs="Arial" w:ascii="Arial" w:hAnsi="Arial"/>
        </w:rPr>
        <w:t xml:space="preserve"> mai, ateliers avec Aurélien Barrau en septembre.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FF0000"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Prochain CA : le jeudi 12 mars à 18 heures à la Bourse du Travail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fill="FDE9D9" w:val="clear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sz w:val="28"/>
          <w:szCs w:val="28"/>
        </w:rPr>
        <w:t>Objet principal : préparation de l’AG du 3 avril 2020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fill="FDE9D9" w:val="clear"/>
        <w:suppressAutoHyphens w:val="false"/>
        <w:spacing w:lineRule="auto" w:line="240" w:before="0" w:after="0"/>
        <w:textAlignment w:val="auto"/>
        <w:rPr/>
      </w:pPr>
      <w:r>
        <w:rPr/>
      </w:r>
    </w:p>
    <w:sectPr>
      <w:type w:val="nextPage"/>
      <w:pgSz w:w="11906" w:h="16838"/>
      <w:pgMar w:left="1417" w:right="1133" w:header="0" w:top="85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9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fr-FR" w:bidi="ar-SA"/>
    </w:rPr>
  </w:style>
  <w:style w:type="paragraph" w:styleId="Titre1">
    <w:name w:val="Heading 1"/>
    <w:basedOn w:val="Normal1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1"/>
    <w:next w:val="Normal1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1"/>
    <w:next w:val="Normal1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Policepardfaut">
    <w:name w:val="Police par défaut"/>
    <w:qFormat/>
    <w:rPr/>
  </w:style>
  <w:style w:type="character" w:styleId="Lienhypertexte">
    <w:name w:val="Lien hypertexte"/>
    <w:qFormat/>
    <w:rPr>
      <w:color w:val="0000FF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Titre1Car">
    <w:name w:val="Titre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ev">
    <w:name w:val="Élevé"/>
    <w:qFormat/>
    <w:rPr>
      <w:b/>
      <w:bCs/>
    </w:rPr>
  </w:style>
  <w:style w:type="character" w:styleId="Titre3Car">
    <w:name w:val="Titre 3 Car"/>
    <w:qFormat/>
    <w:rPr>
      <w:rFonts w:ascii="Cambria" w:hAnsi="Cambria" w:eastAsia="Times New Roman" w:cs="Times New Roman"/>
      <w:b/>
      <w:bCs/>
      <w:color w:val="4F81BD"/>
    </w:rPr>
  </w:style>
  <w:style w:type="character" w:styleId="Accentuation">
    <w:name w:val="Accentuation"/>
    <w:qFormat/>
    <w:rPr>
      <w:i/>
      <w:iCs/>
    </w:rPr>
  </w:style>
  <w:style w:type="character" w:styleId="Ttr26">
    <w:name w:val="tt_r26"/>
    <w:basedOn w:val="Policepardfaut"/>
    <w:qFormat/>
    <w:rPr/>
  </w:style>
  <w:style w:type="character" w:styleId="Lienhypertextesuivivisit">
    <w:name w:val="Lien hypertexte suivi visité"/>
    <w:qFormat/>
    <w:rPr>
      <w:color w:val="800080"/>
      <w:u w:val="single"/>
    </w:rPr>
  </w:style>
  <w:style w:type="character" w:styleId="Titre2Car">
    <w:name w:val="Titre 2 C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rayon">
    <w:name w:val="crayon"/>
    <w:basedOn w:val="Policepardfaut"/>
    <w:qFormat/>
    <w:rPr/>
  </w:style>
  <w:style w:type="character" w:styleId="Authors">
    <w:name w:val="authors"/>
    <w:basedOn w:val="Policepardfaut"/>
    <w:qFormat/>
    <w:rPr/>
  </w:style>
  <w:style w:type="character" w:styleId="Sep">
    <w:name w:val="sep"/>
    <w:basedOn w:val="Policepardfaut"/>
    <w:qFormat/>
    <w:rPr/>
  </w:style>
  <w:style w:type="character" w:styleId="Vcard">
    <w:name w:val="vcard"/>
    <w:basedOn w:val="Policepardfaut"/>
    <w:qFormat/>
    <w:rPr/>
  </w:style>
  <w:style w:type="character" w:styleId="Tags2">
    <w:name w:val="tags2"/>
    <w:basedOn w:val="Policepardfaut"/>
    <w:qFormat/>
    <w:rPr/>
  </w:style>
  <w:style w:type="character" w:styleId="Intitule2">
    <w:name w:val="intitule2"/>
    <w:basedOn w:val="Policepardfaut"/>
    <w:qFormat/>
    <w:rPr/>
  </w:style>
  <w:style w:type="character" w:styleId="Listetags">
    <w:name w:val="liste_tags"/>
    <w:basedOn w:val="Policepardfaut"/>
    <w:qFormat/>
    <w:rPr/>
  </w:style>
  <w:style w:type="character" w:styleId="Citecrochet1">
    <w:name w:val="cite_crochet1"/>
    <w:basedOn w:val="Policepardfaut"/>
    <w:qFormat/>
    <w:rPr>
      <w:vanish/>
    </w:rPr>
  </w:style>
  <w:style w:type="character" w:styleId="Textexposedshow">
    <w:name w:val="textexposedshow"/>
    <w:basedOn w:val="Policepardfaut"/>
    <w:qFormat/>
    <w:rPr/>
  </w:style>
  <w:style w:type="character" w:styleId="Redi1">
    <w:name w:val="redi1"/>
    <w:basedOn w:val="Policepardfaut"/>
    <w:qFormat/>
    <w:rPr>
      <w:color w:val="9D273D"/>
    </w:rPr>
  </w:style>
  <w:style w:type="character" w:styleId="Citation">
    <w:name w:val="citation"/>
    <w:basedOn w:val="Policepardfaut"/>
    <w:qFormat/>
    <w:rPr/>
  </w:style>
  <w:style w:type="character" w:styleId="Mwheadline">
    <w:name w:val="mw-headline"/>
    <w:basedOn w:val="Policepardfaut"/>
    <w:qFormat/>
    <w:rPr/>
  </w:style>
  <w:style w:type="character" w:styleId="Mweditsection">
    <w:name w:val="mw-editsection"/>
    <w:basedOn w:val="Policepardfaut"/>
    <w:qFormat/>
    <w:rPr/>
  </w:style>
  <w:style w:type="character" w:styleId="Mweditsectionbracket">
    <w:name w:val="mw-editsection-bracket"/>
    <w:basedOn w:val="Policepardfaut"/>
    <w:qFormat/>
    <w:rPr/>
  </w:style>
  <w:style w:type="character" w:styleId="Mweditsectiondivider">
    <w:name w:val="mw-editsection-divider"/>
    <w:basedOn w:val="Policepardfaut"/>
    <w:qFormat/>
    <w:rPr/>
  </w:style>
  <w:style w:type="character" w:styleId="Ox7bba3fb943gmailm6234822363638324052gmailhascaption">
    <w:name w:val="ox-7bba3fb943-gmail-m_6234822363638324052gmail-hascaption"/>
    <w:basedOn w:val="Policepardfaut"/>
    <w:qFormat/>
    <w:rPr/>
  </w:style>
  <w:style w:type="character" w:styleId="Oxe387415c41oxf2d00e86faoxb0ebe379fbgmailm8232412411920795369gmailm5349438905103581197gmailm7563807210131811041gmailm8816735081518532420gmailm3097585856385372491gmailm3572483015951924871gmailm3682921771205897012gmailm641693212">
    <w:name w:val="ox-e387415c41-ox-f2d00e86fa-ox-b0ebe379fb-gmail-m_-8232412411920795369gmail-m_-5349438905103581197gmail-m_-7563807210131811041gmail-m_8816735081518532420gmail-m_3097585856385372491gmail-m_-3572483015951924871gmail-m_-3682921771205897012gmail-m_641693212"/>
    <w:basedOn w:val="Policepardfaut"/>
    <w:qFormat/>
    <w:rPr/>
  </w:style>
  <w:style w:type="character" w:styleId="Titre4Car">
    <w:name w:val="Titre 4 Car"/>
    <w:basedOn w:val="Policepardfaut"/>
    <w:qFormat/>
    <w:rPr>
      <w:rFonts w:ascii="Cambria" w:hAnsi="Cambria" w:eastAsia="Times New Roman" w:cs="Times New Roman"/>
      <w:b/>
      <w:bCs/>
      <w:i/>
      <w:iCs/>
      <w:color w:val="4F81BD"/>
      <w:sz w:val="22"/>
      <w:szCs w:val="22"/>
    </w:rPr>
  </w:style>
  <w:style w:type="character" w:styleId="LienInternet">
    <w:name w:val="Lien Internet"/>
    <w:rPr>
      <w:color w:val="000080"/>
      <w:u w:val="single"/>
    </w:rPr>
  </w:style>
  <w:style w:type="character" w:styleId="Caps1">
    <w:name w:val="caps1"/>
    <w:basedOn w:val="Policepardfaut"/>
    <w:qFormat/>
    <w:rPr>
      <w:smallCaps/>
    </w:rPr>
  </w:style>
  <w:style w:type="character" w:styleId="Ox08535ac5b2chevron">
    <w:name w:val="ox-08535ac5b2-chevron"/>
    <w:basedOn w:val="Policepardfaut"/>
    <w:qFormat/>
    <w:rPr/>
  </w:style>
  <w:style w:type="character" w:styleId="Ox7ac6ae31eachevron">
    <w:name w:val="ox-7ac6ae31ea-chevron"/>
    <w:basedOn w:val="Policepardfaut"/>
    <w:qFormat/>
    <w:rPr/>
  </w:style>
  <w:style w:type="character" w:styleId="Yzlgbd">
    <w:name w:val="yzlgbd"/>
    <w:basedOn w:val="Policepardfaut"/>
    <w:qFormat/>
    <w:rPr/>
  </w:style>
  <w:style w:type="character" w:styleId="W8qarf">
    <w:name w:val="w8qarf"/>
    <w:basedOn w:val="Policepardfaut"/>
    <w:qFormat/>
    <w:rPr/>
  </w:style>
  <w:style w:type="character" w:styleId="Lrzxr">
    <w:name w:val="lrzxr"/>
    <w:basedOn w:val="Policepardfaut"/>
    <w:qFormat/>
    <w:rPr/>
  </w:style>
  <w:style w:type="paragraph" w:styleId="Titre">
    <w:name w:val="Titre"/>
    <w:basedOn w:val="Normal"/>
    <w:next w:val="Corpsdetexte"/>
    <w:qFormat/>
    <w:pPr>
      <w:keepNext w:val="true"/>
      <w:suppressAutoHyphens w:val="fals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fr-FR" w:bidi="ar-SA"/>
    </w:rPr>
  </w:style>
  <w:style w:type="paragraph" w:styleId="Paragraphedeliste">
    <w:name w:val="Paragraphe de liste"/>
    <w:basedOn w:val="Normal1"/>
    <w:qFormat/>
    <w:pPr>
      <w:suppressAutoHyphens w:val="true"/>
      <w:ind w:left="720" w:right="0" w:hanging="0"/>
    </w:pPr>
    <w:rPr/>
  </w:style>
  <w:style w:type="paragraph" w:styleId="NormalWeb">
    <w:name w:val="Normal (Web)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Textedebulles">
    <w:name w:val="Texte de bulles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ttrine">
    <w:name w:val="lettrine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Contenudetableau">
    <w:name w:val="Contenu de tableau"/>
    <w:basedOn w:val="Normal"/>
    <w:qFormat/>
    <w:pPr>
      <w:suppressLineNumbers/>
      <w:suppressAutoHyphens w:val="false"/>
    </w:pPr>
    <w:rPr/>
  </w:style>
  <w:style w:type="paragraph" w:styleId="Lcol">
    <w:name w:val="l-col"/>
    <w:basedOn w:val="Normal1"/>
    <w:qFormat/>
    <w:pPr>
      <w:suppressAutoHyphens w:val="false"/>
      <w:spacing w:lineRule="auto" w:line="240" w:before="240" w:after="0"/>
      <w:textAlignment w:val="auto"/>
    </w:pPr>
    <w:rPr>
      <w:rFonts w:ascii="Times New Roman" w:hAnsi="Times New Roman"/>
      <w:sz w:val="24"/>
      <w:szCs w:val="24"/>
    </w:rPr>
  </w:style>
  <w:style w:type="paragraph" w:styleId="Ox4e26ec2027ydp3220cd1yiv8522652211msonormal">
    <w:name w:val="ox-4e26ec2027-ydp3220cd1yiv8522652211msonormal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erigueux@attac.org" TargetMode="External"/><Relationship Id="rId4" Type="http://schemas.openxmlformats.org/officeDocument/2006/relationships/hyperlink" Target="http://local.attac.org/attac24/" TargetMode="External"/><Relationship Id="rId5" Type="http://schemas.openxmlformats.org/officeDocument/2006/relationships/hyperlink" Target="https://www.facebook.com/attac.perigueux.nontron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193</TotalTime>
  <Application>LibreOffice/6.0.7.3$Linux_X86_64 LibreOffice_project/00m0$Build-3</Application>
  <Pages>1</Pages>
  <Words>284</Words>
  <Characters>1542</Characters>
  <CharactersWithSpaces>1799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2019-12-02T13:20:00Z</dcterms:created>
  <dc:creator>Maryse</dc:creator>
  <dc:description/>
  <dc:language>fr-FR</dc:language>
  <cp:lastModifiedBy/>
  <cp:lastPrinted>2019-12-02T13:18:00Z</cp:lastPrinted>
  <dcterms:modified xsi:type="dcterms:W3CDTF">2020-02-10T08:10:24Z</dcterms:modified>
  <cp:revision>26</cp:revision>
  <dc:subject/>
  <dc:title/>
</cp:coreProperties>
</file>