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149"/>
        <w:gridCol w:w="5061"/>
        <w:gridCol w:w="168"/>
        <w:gridCol w:w="2790"/>
      </w:tblGrid>
      <w:tr>
        <w:trPr>
          <w:trHeight w:val="1727" w:hRule="atLeast"/>
        </w:trPr>
        <w:tc>
          <w:tcPr>
            <w:tcW w:w="114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6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Normal1"/>
              <w:spacing w:lineRule="auto" w:line="240" w:before="0" w:after="0"/>
              <w:rPr/>
            </w:pPr>
            <w:hyperlink r:id="rId3" w:tgtFrame="_top">
              <w:r>
                <w:rPr>
                  <w:rStyle w:val="Policepardfaut"/>
                  <w:rFonts w:cs="Arial" w:ascii="Arial" w:hAnsi="Arial"/>
                  <w:color w:val="002060"/>
                  <w:u w:val="single"/>
                </w:rPr>
                <w:t>perigueux@attac.org</w:t>
              </w:r>
            </w:hyperlink>
          </w:p>
          <w:p>
            <w:pPr>
              <w:pStyle w:val="Normal1"/>
              <w:spacing w:lineRule="auto" w:line="240" w:before="0" w:after="0"/>
              <w:rPr/>
            </w:pPr>
            <w:hyperlink r:id="rId4" w:tgtFrame="_top">
              <w:r>
                <w:rPr>
                  <w:rStyle w:val="Lienhypertexte"/>
                  <w:rFonts w:cs="Arial" w:ascii="Arial" w:hAnsi="Arial"/>
                  <w:color w:val="002060"/>
                </w:rPr>
                <w:t>http://local.attac.org/attac24/</w:t>
              </w:r>
            </w:hyperlink>
          </w:p>
          <w:p>
            <w:pPr>
              <w:pStyle w:val="Normal1"/>
              <w:spacing w:lineRule="auto" w:line="240" w:before="0" w:after="0"/>
              <w:rPr/>
            </w:pPr>
            <w:hyperlink r:id="rId5" w:tgtFrame="_top">
              <w:r>
                <w:rPr>
                  <w:rStyle w:val="Lienhypertexte"/>
                  <w:rFonts w:cs="Arial" w:ascii="Arial" w:hAnsi="Arial"/>
                  <w:color w:val="002060"/>
                </w:rPr>
                <w:t>https://www.facebook.com/attac.perigueux.nontron</w:t>
              </w:r>
            </w:hyperlink>
          </w:p>
        </w:tc>
        <w:tc>
          <w:tcPr>
            <w:tcW w:w="1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279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pPr>
      <w:r>
        <w:rPr/>
      </w:r>
    </w:p>
    <w:p>
      <w:pPr>
        <w:pStyle w:val="Normal1"/>
        <w:spacing w:before="0" w:after="0"/>
        <w:rPr>
          <w:vanish/>
        </w:rPr>
      </w:pPr>
      <w:r>
        <w:rPr>
          <w:vanish/>
        </w:rPr>
      </w:r>
    </w:p>
    <w:p>
      <w:pPr>
        <w:pStyle w:val="Normal1"/>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25 juin</w:t>
      </w:r>
      <w:r>
        <w:rPr>
          <w:rStyle w:val="Policepardfaut"/>
          <w:rFonts w:cs="Arial" w:ascii="Arial" w:hAnsi="Arial"/>
          <w:b/>
          <w:bCs/>
          <w:color w:val="C00000"/>
          <w:sz w:val="28"/>
          <w:szCs w:val="28"/>
        </w:rPr>
        <w:t xml:space="preserve"> 2020</w:t>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pPr>
      <w:r>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Paul, Jean Lalanne, Claude Micmacher, Christian Naudet, Jean-Francis Parisis</w:t>
      </w:r>
    </w:p>
    <w:p>
      <w:pPr>
        <w:pStyle w:val="Normal1"/>
        <w:pBdr>
          <w:bottom w:val="single" w:sz="6" w:space="15" w:color="CCCCCC"/>
        </w:pBdr>
        <w:shd w:fill="FFFFFF" w:val="clear"/>
        <w:spacing w:lineRule="auto" w:line="240" w:before="0" w:after="0"/>
        <w:rPr>
          <w:rFonts w:ascii="Arial" w:hAnsi="Arial" w:cs="Arial"/>
          <w:b/>
          <w:b/>
          <w:color w:val="C00000"/>
          <w:highlight w:val="red"/>
        </w:rPr>
      </w:pPr>
      <w:r>
        <w:rPr>
          <w:rFonts w:cs="Arial" w:ascii="Arial" w:hAnsi="Arial"/>
          <w:b/>
          <w:color w:val="C00000"/>
          <w:highlight w:val="red"/>
        </w:rPr>
      </w:r>
    </w:p>
    <w:p>
      <w:pPr>
        <w:pStyle w:val="Normal1"/>
        <w:pBdr>
          <w:bottom w:val="single" w:sz="6" w:space="15" w:color="CCCCCC"/>
        </w:pBdr>
        <w:shd w:fill="FDE9D9" w:val="clear"/>
        <w:spacing w:lineRule="auto" w:line="240" w:before="0" w:after="0"/>
        <w:rPr>
          <w:rFonts w:ascii="Arial" w:hAnsi="Arial" w:cs="Arial"/>
          <w:b/>
          <w:b/>
          <w:color w:val="C00000"/>
          <w:sz w:val="24"/>
          <w:szCs w:val="24"/>
          <w:highlight w:val="red"/>
        </w:rPr>
      </w:pPr>
      <w:r>
        <w:rPr>
          <w:rFonts w:cs="Arial" w:ascii="Arial" w:hAnsi="Arial"/>
          <w:b/>
          <w:color w:val="C00000"/>
          <w:sz w:val="24"/>
          <w:szCs w:val="24"/>
          <w:highlight w:val="red"/>
        </w:rPr>
        <w:t>1/ Actions en cours d’ATTAC France </w:t>
      </w:r>
    </w:p>
    <w:p>
      <w:pPr>
        <w:pStyle w:val="Normal1"/>
        <w:shd w:fill="FFFFFF" w:val="clear"/>
        <w:spacing w:lineRule="auto" w:line="240" w:before="0" w:after="0"/>
        <w:rPr>
          <w:rFonts w:ascii="Arial" w:hAnsi="Arial" w:cs="Arial"/>
          <w:b/>
          <w:b/>
        </w:rPr>
      </w:pPr>
      <w:r>
        <w:rPr>
          <w:rFonts w:cs="Arial" w:ascii="Arial" w:hAnsi="Arial"/>
          <w:b/>
        </w:rPr>
      </w:r>
    </w:p>
    <w:p>
      <w:pPr>
        <w:pStyle w:val="Normal1"/>
        <w:shd w:fill="FFFFFF" w:val="clear"/>
        <w:spacing w:lineRule="auto" w:line="240" w:before="0" w:after="0"/>
        <w:rPr/>
      </w:pPr>
      <w:r>
        <w:rPr>
          <w:rStyle w:val="Policepardfaut"/>
          <w:rFonts w:cs="Arial" w:ascii="Arial" w:hAnsi="Arial"/>
          <w:b/>
        </w:rPr>
        <w:t>A/</w:t>
      </w:r>
      <w:r>
        <w:rPr>
          <w:rStyle w:val="Policepardfaut"/>
          <w:rFonts w:cs="Arial" w:ascii="Arial" w:hAnsi="Arial"/>
        </w:rPr>
        <w:t xml:space="preserve"> L’examen de la 3</w:t>
      </w:r>
      <w:r>
        <w:rPr>
          <w:rStyle w:val="Policepardfaut"/>
          <w:rFonts w:cs="Arial" w:ascii="Arial" w:hAnsi="Arial"/>
          <w:position w:val="22"/>
          <w:sz w:val="14"/>
        </w:rPr>
        <w:t xml:space="preserve">ème </w:t>
      </w:r>
      <w:r>
        <w:rPr>
          <w:rStyle w:val="Policepardfaut"/>
          <w:rFonts w:cs="Arial" w:ascii="Arial" w:hAnsi="Arial"/>
        </w:rPr>
        <w:t>loi de finance rectificative est ouvert à l’Assemblée Nationale depuis le lundi 29 juin. Dans le projet présenté par le gouvernement il n’y a aucune mesure allant dans le sens d’une fiscalité plus juste.</w:t>
      </w:r>
      <w:r>
        <w:rPr/>
        <w:t xml:space="preserve"> </w:t>
      </w:r>
      <w:r>
        <w:rPr>
          <w:rStyle w:val="Policepardfaut"/>
          <w:rFonts w:cs="Arial" w:ascii="Arial" w:hAnsi="Arial"/>
        </w:rPr>
        <w:t>Nous pouvons interpeller les député(e)s afin de renforcer la pression citoyenne en utilisant ce lien :</w:t>
      </w:r>
      <w:r>
        <w:rPr/>
        <w:t xml:space="preserve"> </w:t>
      </w:r>
      <w:hyperlink r:id="rId6" w:tgtFrame="_top">
        <w:r>
          <w:rPr>
            <w:rStyle w:val="Lienhypertexte"/>
            <w:rFonts w:cs="Arial" w:ascii="Arial" w:hAnsi="Arial"/>
            <w:color w:val="C00000"/>
          </w:rPr>
          <w:t>https://france.attac.org/se-mobiliser/que-faire-face-au-coronavirus/article/action-renforcons-la-pression-sur-nos</w:t>
        </w:r>
        <w:bookmarkStart w:id="0" w:name="_Hlt44334834"/>
        <w:r>
          <w:rPr>
            <w:rStyle w:val="Lienhypertexte"/>
            <w:rFonts w:cs="Arial" w:ascii="Arial" w:hAnsi="Arial"/>
            <w:color w:val="C00000"/>
          </w:rPr>
          <w:t>-</w:t>
        </w:r>
        <w:bookmarkEnd w:id="0"/>
        <w:r>
          <w:rPr>
            <w:rStyle w:val="Lienhypertexte"/>
            <w:rFonts w:cs="Arial" w:ascii="Arial" w:hAnsi="Arial"/>
            <w:color w:val="C00000"/>
          </w:rPr>
          <w:t>depu</w:t>
        </w:r>
        <w:bookmarkStart w:id="1" w:name="_Hlt44364286"/>
        <w:r>
          <w:rPr>
            <w:rStyle w:val="Lienhypertexte"/>
            <w:rFonts w:cs="Arial" w:ascii="Arial" w:hAnsi="Arial"/>
            <w:color w:val="C00000"/>
          </w:rPr>
          <w:t>t</w:t>
        </w:r>
        <w:bookmarkEnd w:id="1"/>
        <w:r>
          <w:rPr>
            <w:rStyle w:val="Lienhypertexte"/>
            <w:rFonts w:cs="Arial" w:ascii="Arial" w:hAnsi="Arial"/>
            <w:color w:val="C00000"/>
          </w:rPr>
          <w:t>e-e-s-pour-que-le-p</w:t>
        </w:r>
        <w:bookmarkStart w:id="2" w:name="_Hlt44334998"/>
        <w:r>
          <w:rPr>
            <w:rStyle w:val="Lienhypertexte"/>
            <w:rFonts w:cs="Arial" w:ascii="Arial" w:hAnsi="Arial"/>
            <w:color w:val="C00000"/>
          </w:rPr>
          <w:t>a</w:t>
        </w:r>
        <w:bookmarkEnd w:id="2"/>
        <w:r>
          <w:rPr>
            <w:rStyle w:val="Lienhypertexte"/>
            <w:rFonts w:cs="Arial" w:ascii="Arial" w:hAnsi="Arial"/>
            <w:color w:val="C00000"/>
          </w:rPr>
          <w:t>rlemen</w:t>
        </w:r>
        <w:bookmarkStart w:id="3" w:name="_Hlt44334961"/>
        <w:r>
          <w:rPr>
            <w:rStyle w:val="Lienhypertexte"/>
            <w:rFonts w:cs="Arial" w:ascii="Arial" w:hAnsi="Arial"/>
            <w:color w:val="C00000"/>
          </w:rPr>
          <w:t>t</w:t>
        </w:r>
        <w:bookmarkEnd w:id="3"/>
        <w:r>
          <w:rPr>
            <w:rStyle w:val="Lienhypertexte"/>
            <w:rFonts w:cs="Arial" w:ascii="Arial" w:hAnsi="Arial"/>
            <w:color w:val="C00000"/>
          </w:rPr>
          <w:t>-adopte</w:t>
        </w:r>
      </w:hyperlink>
      <w:r>
        <w:rPr>
          <w:rStyle w:val="Lienhypertexte"/>
          <w:rFonts w:cs="Arial" w:ascii="Arial" w:hAnsi="Arial"/>
          <w:b/>
          <w:color w:val="002060"/>
          <w:u w:val="none"/>
        </w:rPr>
        <w:t xml:space="preserve"> </w:t>
      </w:r>
      <w:r>
        <w:rPr>
          <w:rStyle w:val="Lienhypertexte"/>
          <w:rFonts w:cs="Arial" w:ascii="Arial" w:hAnsi="Arial"/>
          <w:color w:val="002060"/>
          <w:u w:val="none"/>
        </w:rPr>
        <w:t>l</w:t>
      </w:r>
      <w:r>
        <w:rPr>
          <w:rStyle w:val="Lienhypertexte"/>
          <w:rFonts w:cs="Arial" w:ascii="Arial" w:hAnsi="Arial"/>
          <w:color w:val="auto"/>
          <w:u w:val="none"/>
        </w:rPr>
        <w:t>es mesures de justice fiscale suivantes :</w:t>
      </w:r>
      <w:r>
        <w:rPr>
          <w:rStyle w:val="Policepardfaut"/>
          <w:rFonts w:cs="Arial" w:ascii="Arial" w:hAnsi="Arial"/>
        </w:rPr>
        <w:t xml:space="preserve"> p</w:t>
      </w:r>
      <w:hyperlink r:id="rId7" w:tgtFrame="_top">
        <w:r>
          <w:rPr>
            <w:rStyle w:val="Lienhypertexte"/>
            <w:rFonts w:cs="Arial" w:ascii="Arial" w:hAnsi="Arial"/>
            <w:color w:val="231F20"/>
            <w:u w:val="none"/>
          </w:rPr>
          <w:t>rélever une contribution exceptionnelle sur le patrimoine des 1 % les plus riches</w:t>
        </w:r>
      </w:hyperlink>
      <w:r>
        <w:rPr>
          <w:rStyle w:val="Policepardfaut"/>
          <w:rFonts w:cs="Arial" w:ascii="Arial" w:hAnsi="Arial"/>
        </w:rPr>
        <w:t>, r</w:t>
      </w:r>
      <w:hyperlink r:id="rId8" w:tgtFrame="_top">
        <w:r>
          <w:rPr>
            <w:rStyle w:val="Lienhypertexte"/>
            <w:rFonts w:cs="Arial" w:ascii="Arial" w:hAnsi="Arial"/>
            <w:color w:val="231F20"/>
            <w:u w:val="none"/>
          </w:rPr>
          <w:t>établir et rénover l’impôt de solidarité sur la fortune</w:t>
        </w:r>
      </w:hyperlink>
      <w:r>
        <w:rPr>
          <w:rStyle w:val="Policepardfaut"/>
          <w:rFonts w:cs="Arial" w:ascii="Arial" w:hAnsi="Arial"/>
        </w:rPr>
        <w:t>, r</w:t>
      </w:r>
      <w:hyperlink r:id="rId9" w:tgtFrame="_top">
        <w:r>
          <w:rPr>
            <w:rStyle w:val="Lienhypertexte"/>
            <w:rFonts w:cs="Arial" w:ascii="Arial" w:hAnsi="Arial"/>
            <w:color w:val="231F20"/>
            <w:u w:val="none"/>
          </w:rPr>
          <w:t>établir la progressivité de l’imposition des revenus financiers</w:t>
        </w:r>
      </w:hyperlink>
      <w:r>
        <w:rPr>
          <w:rStyle w:val="Policepardfaut"/>
          <w:rFonts w:cs="Arial" w:ascii="Arial" w:hAnsi="Arial"/>
        </w:rPr>
        <w:t xml:space="preserve">, </w:t>
      </w:r>
      <w:hyperlink r:id="rId10" w:tgtFrame="_top">
        <w:r>
          <w:rPr>
            <w:rStyle w:val="Lienhypertexte"/>
            <w:rFonts w:cs="Arial" w:ascii="Arial" w:hAnsi="Arial"/>
            <w:color w:val="231F20"/>
            <w:u w:val="none"/>
          </w:rPr>
          <w:t>supprimer les niches fiscales inutiles et les exonérations anti-écologiques</w:t>
        </w:r>
      </w:hyperlink>
      <w:r>
        <w:rPr>
          <w:rStyle w:val="Policepardfaut"/>
          <w:rFonts w:cs="Arial" w:ascii="Arial" w:hAnsi="Arial"/>
        </w:rPr>
        <w:t>, i</w:t>
      </w:r>
      <w:hyperlink r:id="rId11" w:tgtFrame="_top">
        <w:r>
          <w:rPr>
            <w:rStyle w:val="Lienhypertexte"/>
            <w:rFonts w:cs="Arial" w:ascii="Arial" w:hAnsi="Arial"/>
            <w:color w:val="231F20"/>
            <w:u w:val="none"/>
          </w:rPr>
          <w:t>nstaurer la taxation unitaire des multinationales pour lutter contre l’évasion fiscale</w:t>
        </w:r>
      </w:hyperlink>
      <w:r>
        <w:rPr>
          <w:rStyle w:val="Policepardfaut"/>
          <w:rFonts w:cs="Arial" w:ascii="Arial" w:hAnsi="Arial"/>
        </w:rPr>
        <w:t xml:space="preserve">, </w:t>
      </w:r>
      <w:hyperlink r:id="rId12" w:tgtFrame="_top">
        <w:r>
          <w:rPr>
            <w:rStyle w:val="Lienhypertexte"/>
            <w:rFonts w:cs="Arial" w:ascii="Arial" w:hAnsi="Arial"/>
            <w:color w:val="231F20"/>
            <w:u w:val="none"/>
          </w:rPr>
          <w:t>taxer l’ensemble des transactions financières</w:t>
        </w:r>
      </w:hyperlink>
      <w:r>
        <w:rPr>
          <w:rStyle w:val="Lienhypertexte"/>
          <w:rFonts w:cs="Arial" w:ascii="Arial" w:hAnsi="Arial"/>
          <w:color w:val="231F20"/>
          <w:u w:val="none"/>
        </w:rPr>
        <w:t>.</w:t>
      </w:r>
    </w:p>
    <w:p>
      <w:pPr>
        <w:pStyle w:val="Titre3"/>
        <w:numPr>
          <w:ilvl w:val="2"/>
          <w:numId w:val="1"/>
        </w:numPr>
        <w:tabs>
          <w:tab w:val="left" w:pos="0" w:leader="none"/>
        </w:tabs>
        <w:spacing w:lineRule="auto" w:line="240" w:before="0" w:after="0"/>
        <w:ind w:left="0" w:hanging="0"/>
        <w:rPr>
          <w:rFonts w:ascii="Arial" w:hAnsi="Arial" w:cs="Arial"/>
          <w:color w:val="auto"/>
        </w:rPr>
      </w:pPr>
      <w:r>
        <w:rPr>
          <w:rFonts w:cs="Arial" w:ascii="Arial" w:hAnsi="Arial"/>
          <w:color w:val="auto"/>
        </w:rPr>
      </w:r>
    </w:p>
    <w:p>
      <w:pPr>
        <w:pStyle w:val="Titre3"/>
        <w:numPr>
          <w:ilvl w:val="2"/>
          <w:numId w:val="1"/>
        </w:numPr>
        <w:tabs>
          <w:tab w:val="left" w:pos="0" w:leader="none"/>
        </w:tabs>
        <w:spacing w:lineRule="auto" w:line="240" w:before="0" w:after="0"/>
        <w:ind w:left="0" w:hanging="0"/>
        <w:rPr/>
      </w:pPr>
      <w:r>
        <w:rPr>
          <w:rStyle w:val="Policepardfaut"/>
          <w:rFonts w:cs="Arial" w:ascii="Arial" w:hAnsi="Arial"/>
          <w:color w:val="auto"/>
        </w:rPr>
        <w:t>B/ « L’après Covid-19 : revalorisez les emplois féminisés</w:t>
      </w:r>
      <w:r>
        <w:rPr>
          <w:rStyle w:val="Policepardfaut"/>
          <w:rFonts w:cs="Arial" w:ascii="Arial" w:hAnsi="Arial"/>
          <w:b w:val="false"/>
          <w:color w:val="auto"/>
        </w:rPr>
        <w:t> ! » : la crise a mis en lumière les métiers essentiels à la continuité sociale (infirmières, aides-soignantes, aide-ménagères, caissières, routiers, agent(e)s d’entretien, magasiniers, éboueurs...), qui sont pourtant les moins bien payés et peu considérés. Il s’agit pour la plupart de métiers à dominante féminine qu’une pétition soutenue par ATTAC a pour objectif de défendre </w:t>
      </w:r>
      <w:r>
        <w:rPr>
          <w:rStyle w:val="Policepardfaut"/>
          <w:rFonts w:cs="Arial" w:ascii="Arial" w:hAnsi="Arial"/>
          <w:b w:val="false"/>
          <w:color w:val="C00000"/>
        </w:rPr>
        <w:t>:</w:t>
      </w:r>
      <w:r>
        <w:rPr>
          <w:rStyle w:val="Policepardfaut"/>
          <w:color w:val="C00000"/>
        </w:rPr>
        <w:t xml:space="preserve"> </w:t>
      </w:r>
      <w:hyperlink r:id="rId13" w:tgtFrame="_top">
        <w:r>
          <w:rPr>
            <w:rStyle w:val="Lienhypertexte"/>
            <w:rFonts w:cs="Arial" w:ascii="Arial" w:hAnsi="Arial"/>
            <w:b w:val="false"/>
            <w:color w:val="C00000"/>
          </w:rPr>
          <w:t>https://www.change.org/p/emmanuel-macron-r</w:t>
        </w:r>
        <w:bookmarkStart w:id="4" w:name="_Hlt44364324"/>
        <w:r>
          <w:rPr>
            <w:rStyle w:val="Lienhypertexte"/>
            <w:rFonts w:cs="Arial" w:ascii="Arial" w:hAnsi="Arial"/>
            <w:b w:val="false"/>
            <w:color w:val="C00000"/>
          </w:rPr>
          <w:t>e</w:t>
        </w:r>
        <w:bookmarkEnd w:id="4"/>
        <w:r>
          <w:rPr>
            <w:rStyle w:val="Lienhypertexte"/>
            <w:rFonts w:cs="Arial" w:ascii="Arial" w:hAnsi="Arial"/>
            <w:b w:val="false"/>
            <w:color w:val="C00000"/>
          </w:rPr>
          <w:t>valorisez-les-emplois-f%C3%A9minis%C3</w:t>
        </w:r>
        <w:bookmarkStart w:id="5" w:name="_Hlt44338478"/>
        <w:r>
          <w:rPr>
            <w:rStyle w:val="Lienhypertexte"/>
            <w:rFonts w:cs="Arial" w:ascii="Arial" w:hAnsi="Arial"/>
            <w:b w:val="false"/>
            <w:color w:val="C00000"/>
          </w:rPr>
          <w:t>%</w:t>
        </w:r>
        <w:bookmarkEnd w:id="5"/>
        <w:r>
          <w:rPr>
            <w:rStyle w:val="Lienhypertexte"/>
            <w:rFonts w:cs="Arial" w:ascii="Arial" w:hAnsi="Arial"/>
            <w:b w:val="false"/>
            <w:color w:val="C00000"/>
          </w:rPr>
          <w:t>A9s?pk_campaign=Infolettre-2474&amp;pk_kwd=www-change-org-p-emmanuel-macron</w:t>
        </w:r>
      </w:hyperlink>
      <w:r>
        <w:rPr>
          <w:rStyle w:val="Policepardfaut"/>
          <w:rFonts w:cs="Arial" w:ascii="Arial" w:hAnsi="Arial"/>
          <w:b w:val="false"/>
          <w:color w:val="auto"/>
        </w:rPr>
        <w:br/>
        <w:t>Un article sur ce sujet vient de paraître dans le dernier numéro des</w:t>
      </w:r>
      <w:r>
        <w:rPr>
          <w:rStyle w:val="Policepardfaut"/>
          <w:rFonts w:cs="Arial" w:ascii="Arial" w:hAnsi="Arial"/>
          <w:b w:val="false"/>
          <w:color w:val="C00000"/>
        </w:rPr>
        <w:t> </w:t>
      </w:r>
      <w:hyperlink r:id="rId14" w:tgtFrame="_top">
        <w:r>
          <w:rPr>
            <w:rStyle w:val="Lienhypertexte"/>
            <w:rFonts w:cs="Arial" w:ascii="Arial" w:hAnsi="Arial"/>
            <w:b w:val="false"/>
            <w:color w:val="C00000"/>
          </w:rPr>
          <w:t>Poss</w:t>
        </w:r>
        <w:bookmarkStart w:id="6" w:name="_Hlt44364259"/>
        <w:bookmarkStart w:id="7" w:name="_Hlt44364258"/>
        <w:r>
          <w:rPr>
            <w:rStyle w:val="Lienhypertexte"/>
            <w:rFonts w:cs="Arial" w:ascii="Arial" w:hAnsi="Arial"/>
            <w:b w:val="false"/>
            <w:color w:val="C00000"/>
          </w:rPr>
          <w:t>i</w:t>
        </w:r>
        <w:bookmarkStart w:id="8" w:name="_Hlt44339243"/>
        <w:bookmarkEnd w:id="6"/>
        <w:bookmarkEnd w:id="7"/>
        <w:r>
          <w:rPr>
            <w:rStyle w:val="Lienhypertexte"/>
            <w:rFonts w:cs="Arial" w:ascii="Arial" w:hAnsi="Arial"/>
            <w:b w:val="false"/>
            <w:color w:val="C00000"/>
          </w:rPr>
          <w:t>b</w:t>
        </w:r>
        <w:bookmarkEnd w:id="8"/>
        <w:r>
          <w:rPr>
            <w:rStyle w:val="Lienhypertexte"/>
            <w:rFonts w:cs="Arial" w:ascii="Arial" w:hAnsi="Arial"/>
            <w:b w:val="false"/>
            <w:color w:val="C00000"/>
          </w:rPr>
          <w:t>les</w:t>
        </w:r>
      </w:hyperlink>
      <w:r>
        <w:rPr>
          <w:rStyle w:val="Lienhypertexte"/>
          <w:rFonts w:cs="Arial" w:ascii="Arial" w:hAnsi="Arial"/>
          <w:b w:val="false"/>
          <w:color w:val="002060"/>
          <w:u w:val="none"/>
        </w:rPr>
        <w:t xml:space="preserve"> </w:t>
      </w:r>
      <w:r>
        <w:rPr>
          <w:rStyle w:val="Lienhypertexte"/>
          <w:rFonts w:cs="Arial" w:ascii="Arial" w:hAnsi="Arial"/>
          <w:b w:val="false"/>
          <w:color w:val="auto"/>
          <w:u w:val="none"/>
        </w:rPr>
        <w:t>(n°24, été 2020) </w:t>
      </w:r>
      <w:r>
        <w:rPr>
          <w:rStyle w:val="Policepardfaut"/>
          <w:rFonts w:cs="Arial" w:ascii="Arial" w:hAnsi="Arial"/>
          <w:b w:val="false"/>
          <w:color w:val="auto"/>
        </w:rPr>
        <w:t>: « </w:t>
      </w:r>
      <w:r>
        <w:rPr>
          <w:rStyle w:val="Crayon"/>
          <w:rFonts w:cs="Arial" w:ascii="Arial" w:hAnsi="Arial"/>
          <w:b w:val="false"/>
          <w:color w:val="auto"/>
        </w:rPr>
        <w:t xml:space="preserve">Reconnaissance de l’utilité des métiers à dominante féminine et transformation sociale » </w:t>
      </w:r>
      <w:r>
        <w:rPr>
          <w:rStyle w:val="Authors"/>
          <w:rFonts w:cs="Arial" w:ascii="Arial" w:hAnsi="Arial"/>
          <w:b w:val="false"/>
          <w:color w:val="auto"/>
        </w:rPr>
        <w:t>par </w:t>
      </w:r>
      <w:hyperlink r:id="rId15" w:tgtFrame="_top">
        <w:r>
          <w:rPr>
            <w:rStyle w:val="Lienhypertexte"/>
            <w:rFonts w:cs="Arial" w:ascii="Arial" w:hAnsi="Arial"/>
            <w:b w:val="false"/>
            <w:color w:val="auto"/>
            <w:u w:val="none"/>
          </w:rPr>
          <w:t>Catherine Bloch-London</w:t>
        </w:r>
      </w:hyperlink>
      <w:r>
        <w:rPr>
          <w:rStyle w:val="Vcard"/>
          <w:rFonts w:cs="Arial" w:ascii="Arial" w:hAnsi="Arial"/>
          <w:b w:val="false"/>
          <w:color w:val="auto"/>
        </w:rPr>
        <w:t xml:space="preserve"> et </w:t>
      </w:r>
      <w:hyperlink r:id="rId16" w:tgtFrame="_top">
        <w:r>
          <w:rPr>
            <w:rStyle w:val="Lienhypertexte"/>
            <w:rFonts w:cs="Arial" w:ascii="Arial" w:hAnsi="Arial"/>
            <w:b w:val="false"/>
            <w:color w:val="auto"/>
            <w:u w:val="none"/>
          </w:rPr>
          <w:t>Christiane Marty</w:t>
        </w:r>
      </w:hyperlink>
      <w:r>
        <w:rPr>
          <w:rStyle w:val="Vcard"/>
          <w:rFonts w:cs="Arial" w:ascii="Arial" w:hAnsi="Arial"/>
          <w:b w:val="false"/>
          <w:color w:val="auto"/>
        </w:rPr>
        <w:t>.</w:t>
      </w:r>
    </w:p>
    <w:p>
      <w:pPr>
        <w:pStyle w:val="Normal1"/>
        <w:spacing w:lineRule="auto" w:line="240"/>
        <w:rPr>
          <w:rFonts w:ascii="Arial" w:hAnsi="Arial" w:cs="Arial"/>
        </w:rPr>
      </w:pPr>
      <w:r>
        <w:rPr>
          <w:rFonts w:cs="Arial" w:ascii="Arial" w:hAnsi="Arial"/>
        </w:rPr>
      </w:r>
    </w:p>
    <w:p>
      <w:pPr>
        <w:pStyle w:val="Normal1"/>
        <w:shd w:fill="FDE9D9" w:val="clear"/>
        <w:spacing w:lineRule="auto" w:line="240" w:before="0" w:after="0"/>
        <w:rPr>
          <w:rFonts w:ascii="Arial" w:hAnsi="Arial" w:cs="Arial"/>
          <w:b/>
          <w:b/>
          <w:color w:val="C00000"/>
          <w:sz w:val="24"/>
          <w:szCs w:val="24"/>
          <w:highlight w:val="red"/>
        </w:rPr>
      </w:pPr>
      <w:r>
        <w:rPr>
          <w:rFonts w:cs="Arial" w:ascii="Arial" w:hAnsi="Arial"/>
          <w:b/>
          <w:color w:val="C00000"/>
          <w:sz w:val="24"/>
          <w:szCs w:val="24"/>
          <w:highlight w:val="red"/>
        </w:rPr>
        <w:t>2/ Informations nationales</w:t>
      </w:r>
    </w:p>
    <w:p>
      <w:pPr>
        <w:pStyle w:val="Normal1"/>
        <w:shd w:fill="FDE9D9" w:val="clear"/>
        <w:spacing w:lineRule="auto" w:line="240" w:before="0" w:after="0"/>
        <w:rPr>
          <w:rFonts w:ascii="Arial" w:hAnsi="Arial" w:cs="Arial"/>
          <w:b/>
          <w:b/>
          <w:color w:val="C00000"/>
          <w:sz w:val="24"/>
          <w:szCs w:val="24"/>
          <w:highlight w:val="red"/>
        </w:rPr>
      </w:pPr>
      <w:r>
        <w:rPr>
          <w:rFonts w:cs="Arial" w:ascii="Arial" w:hAnsi="Arial"/>
          <w:b/>
          <w:color w:val="C00000"/>
          <w:sz w:val="24"/>
          <w:szCs w:val="24"/>
          <w:highlight w:val="red"/>
        </w:rPr>
      </w:r>
    </w:p>
    <w:p>
      <w:pPr>
        <w:pStyle w:val="Normal1"/>
        <w:spacing w:lineRule="auto" w:line="240" w:before="0" w:after="0"/>
        <w:rPr>
          <w:rFonts w:ascii="Arial" w:hAnsi="Arial" w:cs="Arial"/>
          <w:b/>
          <w:b/>
          <w:color w:val="C00000"/>
          <w:sz w:val="24"/>
          <w:szCs w:val="24"/>
          <w:highlight w:val="red"/>
        </w:rPr>
      </w:pPr>
      <w:r>
        <w:rPr>
          <w:rFonts w:cs="Arial" w:ascii="Arial" w:hAnsi="Arial"/>
          <w:b/>
          <w:color w:val="C00000"/>
          <w:sz w:val="24"/>
          <w:szCs w:val="24"/>
          <w:highlight w:val="red"/>
        </w:rPr>
      </w:r>
    </w:p>
    <w:p>
      <w:pPr>
        <w:pStyle w:val="Normal1"/>
        <w:spacing w:lineRule="auto" w:line="240" w:before="0" w:after="0"/>
        <w:rPr/>
      </w:pPr>
      <w:r>
        <w:rPr>
          <w:rStyle w:val="Policepardfaut"/>
          <w:rFonts w:cs="Arial" w:ascii="Arial" w:hAnsi="Arial"/>
          <w:b/>
          <w:color w:val="000000"/>
        </w:rPr>
        <w:t>A/ La portée politique des alternatives concrètes</w:t>
      </w:r>
      <w:r>
        <w:rPr>
          <w:rStyle w:val="Policepardfaut"/>
          <w:rFonts w:cs="Arial" w:ascii="Arial" w:hAnsi="Arial"/>
          <w:color w:val="000000"/>
        </w:rPr>
        <w:t> : l</w:t>
      </w:r>
      <w:r>
        <w:rPr>
          <w:rStyle w:val="Policepardfaut"/>
          <w:rFonts w:cs="Arial" w:ascii="Arial" w:hAnsi="Arial"/>
        </w:rPr>
        <w:t xml:space="preserve">’espace de travail « Alternatives » propose une contribution détaillant en quoi les activités dites alternatives ou d’économie solidaire constituent une forme de lutte au même titre que celles menées par les mouvements sociaux et doivent occuper une place au sein d’Attac : </w:t>
      </w:r>
      <w:hyperlink r:id="rId17" w:tgtFrame="_top">
        <w:r>
          <w:rPr>
            <w:rStyle w:val="Lienhypertexte"/>
            <w:rFonts w:cs="Arial" w:ascii="Arial" w:hAnsi="Arial"/>
            <w:color w:val="C00000"/>
          </w:rPr>
          <w:t>https://vie-interne.attac.org/</w:t>
        </w:r>
        <w:bookmarkStart w:id="9" w:name="_Hlt44340933"/>
        <w:r>
          <w:rPr>
            <w:rStyle w:val="Lienhypertexte"/>
            <w:rFonts w:cs="Arial" w:ascii="Arial" w:hAnsi="Arial"/>
            <w:color w:val="C00000"/>
          </w:rPr>
          <w:t>e</w:t>
        </w:r>
        <w:bookmarkEnd w:id="9"/>
        <w:r>
          <w:rPr>
            <w:rStyle w:val="Lienhypertexte"/>
            <w:rFonts w:cs="Arial" w:ascii="Arial" w:hAnsi="Arial"/>
            <w:color w:val="C00000"/>
          </w:rPr>
          <w:t>spaces-de-travail/alternatives/article/en-quoi-les-alternatives-concretes-o</w:t>
        </w:r>
        <w:bookmarkStart w:id="10" w:name="_Hlt44364368"/>
        <w:r>
          <w:rPr>
            <w:rStyle w:val="Lienhypertexte"/>
            <w:rFonts w:cs="Arial" w:ascii="Arial" w:hAnsi="Arial"/>
            <w:color w:val="C00000"/>
          </w:rPr>
          <w:t>n</w:t>
        </w:r>
        <w:bookmarkEnd w:id="10"/>
        <w:r>
          <w:rPr>
            <w:rStyle w:val="Lienhypertexte"/>
            <w:rFonts w:cs="Arial" w:ascii="Arial" w:hAnsi="Arial"/>
            <w:color w:val="C00000"/>
          </w:rPr>
          <w:t>t-elles-une-portee-politique?pk_campaign=Infolettre-2474&amp;pk_k</w:t>
        </w:r>
      </w:hyperlink>
      <w:r>
        <w:rPr>
          <w:rStyle w:val="Policepardfaut"/>
          <w:rFonts w:cs="Arial" w:ascii="Arial" w:hAnsi="Arial"/>
        </w:rPr>
        <w:br/>
        <w:t>Pour participer à cette réflexion et à ces actions, il est possible de rejoindre l’espace Alternatives en écrivant à </w:t>
      </w:r>
      <w:hyperlink r:id="rId18" w:tgtFrame="_top">
        <w:r>
          <w:rPr>
            <w:rStyle w:val="Lienhypertexte"/>
            <w:rFonts w:cs="Arial" w:ascii="Arial" w:hAnsi="Arial"/>
            <w:color w:val="C00000"/>
          </w:rPr>
          <w:t>alternatives-contact@at</w:t>
        </w:r>
        <w:bookmarkStart w:id="11" w:name="_Hlt44342692"/>
        <w:r>
          <w:rPr>
            <w:rStyle w:val="Lienhypertexte"/>
            <w:rFonts w:cs="Arial" w:ascii="Arial" w:hAnsi="Arial"/>
            <w:color w:val="C00000"/>
          </w:rPr>
          <w:t>t</w:t>
        </w:r>
        <w:bookmarkEnd w:id="11"/>
        <w:r>
          <w:rPr>
            <w:rStyle w:val="Lienhypertexte"/>
            <w:rFonts w:cs="Arial" w:ascii="Arial" w:hAnsi="Arial"/>
            <w:color w:val="C00000"/>
          </w:rPr>
          <w:t>ac.org</w:t>
        </w:r>
      </w:hyperlink>
      <w:r>
        <w:rPr>
          <w:rStyle w:val="Lienhypertexte"/>
          <w:rFonts w:cs="Arial" w:ascii="Arial" w:hAnsi="Arial"/>
          <w:color w:val="C00000"/>
        </w:rPr>
        <w:t>.</w:t>
      </w:r>
    </w:p>
    <w:p>
      <w:pPr>
        <w:pStyle w:val="Normal1"/>
        <w:shd w:fill="FFFFFF" w:val="clear"/>
        <w:spacing w:lineRule="auto" w:line="240" w:before="0" w:after="0"/>
        <w:rPr>
          <w:rFonts w:ascii="Arial" w:hAnsi="Arial" w:cs="Arial"/>
          <w:b/>
          <w:b/>
          <w:bCs/>
        </w:rPr>
      </w:pPr>
      <w:r>
        <w:rPr>
          <w:rFonts w:cs="Arial" w:ascii="Arial" w:hAnsi="Arial"/>
          <w:b/>
          <w:bCs/>
        </w:rPr>
      </w:r>
    </w:p>
    <w:p>
      <w:pPr>
        <w:pStyle w:val="Normal1"/>
        <w:shd w:fill="FFFFFF" w:val="clear"/>
        <w:spacing w:lineRule="auto" w:line="240" w:before="0" w:after="0"/>
        <w:rPr>
          <w:rFonts w:ascii="Arial" w:hAnsi="Arial" w:cs="Arial"/>
          <w:b/>
          <w:b/>
          <w:bCs/>
        </w:rPr>
      </w:pPr>
      <w:r>
        <w:rPr>
          <w:rFonts w:cs="Arial" w:ascii="Arial" w:hAnsi="Arial"/>
          <w:b/>
          <w:bCs/>
        </w:rPr>
        <w:t>B/ Le budget d’ATTAC France :</w:t>
      </w:r>
    </w:p>
    <w:p>
      <w:pPr>
        <w:pStyle w:val="Normal1"/>
        <w:shd w:fill="FFFFFF" w:val="clear"/>
        <w:spacing w:lineRule="auto" w:line="240" w:before="0" w:after="0"/>
        <w:rPr/>
      </w:pPr>
      <w:r>
        <w:rPr>
          <w:rStyle w:val="Policepardfaut"/>
          <w:rFonts w:cs="Arial" w:ascii="Arial" w:hAnsi="Arial"/>
          <w:b/>
          <w:bCs/>
        </w:rPr>
        <w:t>- Education populaire, campagnes et initiatives </w:t>
      </w:r>
      <w:r>
        <w:rPr>
          <w:rStyle w:val="Policepardfaut"/>
          <w:rFonts w:cs="Arial" w:ascii="Arial" w:hAnsi="Arial"/>
        </w:rPr>
        <w:t>: 31% du budget consacrés à la production des documents d’expertise (livres, rapports, notes), à la production du matériel (autocollants, kit de mobilisation, etc.) et à l’organisation des actions citoyennes au cœur de l’activité d’Attac.</w:t>
      </w:r>
    </w:p>
    <w:p>
      <w:pPr>
        <w:pStyle w:val="Normal1"/>
        <w:shd w:fill="FFFFFF" w:val="clear"/>
        <w:spacing w:lineRule="auto" w:line="240" w:before="0" w:after="0"/>
        <w:rPr/>
      </w:pPr>
      <w:r>
        <w:rPr>
          <w:rStyle w:val="Policepardfaut"/>
          <w:rFonts w:cs="Arial" w:ascii="Arial" w:hAnsi="Arial"/>
          <w:b/>
          <w:bCs/>
        </w:rPr>
        <w:t>- Organisation sur le terrain </w:t>
      </w:r>
      <w:r>
        <w:rPr>
          <w:rStyle w:val="Policepardfaut"/>
          <w:rFonts w:cs="Arial" w:ascii="Arial" w:hAnsi="Arial"/>
        </w:rPr>
        <w:t>: 24% du budget consacrés à la mise en œuvre des actions des comités locaux.</w:t>
      </w:r>
    </w:p>
    <w:p>
      <w:pPr>
        <w:pStyle w:val="Normal1"/>
        <w:shd w:fill="FFFFFF" w:val="clear"/>
        <w:spacing w:lineRule="auto" w:line="240" w:before="0" w:after="0"/>
        <w:rPr/>
      </w:pPr>
      <w:r>
        <w:rPr>
          <w:rStyle w:val="Policepardfaut"/>
          <w:rFonts w:cs="Arial" w:ascii="Arial" w:hAnsi="Arial"/>
          <w:b/>
          <w:bCs/>
        </w:rPr>
        <w:t>- Communication </w:t>
      </w:r>
      <w:r>
        <w:rPr>
          <w:rStyle w:val="Policepardfaut"/>
          <w:rFonts w:cs="Arial" w:ascii="Arial" w:hAnsi="Arial"/>
        </w:rPr>
        <w:t>: 21% du budget consacrés à la production du journal, </w:t>
      </w:r>
      <w:r>
        <w:rPr>
          <w:rStyle w:val="Policepardfaut"/>
          <w:rFonts w:cs="Arial" w:ascii="Arial" w:hAnsi="Arial"/>
          <w:i/>
          <w:iCs/>
        </w:rPr>
        <w:t>Lignes d’Attac</w:t>
      </w:r>
      <w:r>
        <w:rPr>
          <w:rStyle w:val="Policepardfaut"/>
          <w:rFonts w:cs="Arial" w:ascii="Arial" w:hAnsi="Arial"/>
        </w:rPr>
        <w:t>, envoyé aux 10000 adhérent(e)s, et aux autres supports de communication de l’association, notamment le développement du site internet, les réseaux sociaux et la production de vidéos.</w:t>
      </w:r>
    </w:p>
    <w:p>
      <w:pPr>
        <w:pStyle w:val="Normal1"/>
        <w:shd w:fill="FFFFFF" w:val="clear"/>
        <w:spacing w:lineRule="auto" w:line="240" w:before="0" w:after="0"/>
        <w:rPr/>
      </w:pPr>
      <w:r>
        <w:rPr>
          <w:rStyle w:val="Policepardfaut"/>
          <w:rFonts w:cs="Arial" w:ascii="Arial" w:hAnsi="Arial"/>
          <w:b/>
          <w:bCs/>
        </w:rPr>
        <w:t>- Fonctionnement </w:t>
      </w:r>
      <w:r>
        <w:rPr>
          <w:rStyle w:val="Policepardfaut"/>
          <w:rFonts w:cs="Arial" w:ascii="Arial" w:hAnsi="Arial"/>
        </w:rPr>
        <w:t>: 19% d budget consacrés aux frais généraux, locaux, avocats, matériel et outils techniques.</w:t>
      </w:r>
    </w:p>
    <w:p>
      <w:pPr>
        <w:pStyle w:val="Normal1"/>
        <w:shd w:fill="FFFFFF" w:val="clear"/>
        <w:spacing w:lineRule="auto" w:line="240" w:before="0" w:after="0"/>
        <w:rPr/>
      </w:pPr>
      <w:r>
        <w:rPr>
          <w:rStyle w:val="Policepardfaut"/>
          <w:rFonts w:cs="Arial" w:ascii="Arial" w:hAnsi="Arial"/>
          <w:b/>
          <w:bCs/>
        </w:rPr>
        <w:t>- Appui aux réseaux </w:t>
      </w:r>
      <w:r>
        <w:rPr>
          <w:rStyle w:val="Policepardfaut"/>
          <w:rFonts w:cs="Arial" w:ascii="Arial" w:hAnsi="Arial"/>
        </w:rPr>
        <w:t>: 5% du budget consacrés à différents réseaux et collectifs qui se mobilisent sur les sujets portés par Attac</w:t>
      </w:r>
    </w:p>
    <w:tbl>
      <w:tblPr>
        <w:tblW w:w="9000" w:type="dxa"/>
        <w:jc w:val="left"/>
        <w:tblInd w:w="0" w:type="dxa"/>
        <w:tblBorders/>
        <w:tblCellMar>
          <w:top w:w="0" w:type="dxa"/>
          <w:left w:w="750" w:type="dxa"/>
          <w:bottom w:w="0" w:type="dxa"/>
          <w:right w:w="750" w:type="dxa"/>
        </w:tblCellMar>
      </w:tblPr>
      <w:tblGrid>
        <w:gridCol w:w="9000"/>
      </w:tblGrid>
      <w:tr>
        <w:trPr/>
        <w:tc>
          <w:tcPr>
            <w:tcW w:w="9000" w:type="dxa"/>
            <w:tcBorders/>
            <w:shd w:fill="FFFFFF" w:val="clear"/>
          </w:tcPr>
          <w:tbl>
            <w:tblPr>
              <w:tblW w:w="5000" w:type="pct"/>
              <w:jc w:val="center"/>
              <w:tblInd w:w="0" w:type="dxa"/>
              <w:tblBorders/>
              <w:tblCellMar>
                <w:top w:w="0" w:type="dxa"/>
                <w:left w:w="0" w:type="dxa"/>
                <w:bottom w:w="0" w:type="dxa"/>
                <w:right w:w="0" w:type="dxa"/>
              </w:tblCellMar>
            </w:tblPr>
            <w:tblGrid>
              <w:gridCol w:w="7500"/>
            </w:tblGrid>
            <w:tr>
              <w:trPr/>
              <w:tc>
                <w:tcPr>
                  <w:tcW w:w="7500" w:type="dxa"/>
                  <w:tcBorders/>
                  <w:shd w:fill="FFFFFF" w:val="clear"/>
                </w:tcPr>
                <w:tbl>
                  <w:tblPr>
                    <w:tblW w:w="8789" w:type="dxa"/>
                    <w:jc w:val="left"/>
                    <w:tblInd w:w="0" w:type="dxa"/>
                    <w:tblBorders/>
                    <w:tblCellMar>
                      <w:top w:w="0" w:type="dxa"/>
                      <w:left w:w="0" w:type="dxa"/>
                      <w:bottom w:w="0" w:type="dxa"/>
                      <w:right w:w="0" w:type="dxa"/>
                    </w:tblCellMar>
                  </w:tblPr>
                  <w:tblGrid>
                    <w:gridCol w:w="8789"/>
                  </w:tblGrid>
                  <w:tr>
                    <w:trPr>
                      <w:trHeight w:val="300" w:hRule="atLeast"/>
                    </w:trPr>
                    <w:tc>
                      <w:tcPr>
                        <w:tcW w:w="8789" w:type="dxa"/>
                        <w:tcBorders/>
                        <w:shd w:fill="auto" w:val="clear"/>
                        <w:vAlign w:val="center"/>
                      </w:tcPr>
                      <w:p>
                        <w:pPr>
                          <w:pStyle w:val="Normal1"/>
                          <w:spacing w:lineRule="auto" w:line="240" w:before="0" w:after="0"/>
                          <w:rPr>
                            <w:rFonts w:ascii="Arial" w:hAnsi="Arial" w:cs="Arial"/>
                          </w:rPr>
                        </w:pPr>
                        <w:r>
                          <w:rPr>
                            <w:rFonts w:cs="Arial" w:ascii="Arial" w:hAnsi="Arial"/>
                          </w:rPr>
                        </w:r>
                      </w:p>
                    </w:tc>
                  </w:tr>
                  <w:tr>
                    <w:trPr/>
                    <w:tc>
                      <w:tcPr>
                        <w:tcW w:w="8789" w:type="dxa"/>
                        <w:tcBorders/>
                        <w:shd w:fill="auto" w:val="clear"/>
                      </w:tcPr>
                      <w:p>
                        <w:pPr>
                          <w:pStyle w:val="Normal1"/>
                          <w:spacing w:lineRule="auto" w:line="240" w:before="0" w:after="0"/>
                          <w:rPr/>
                        </w:pPr>
                        <w:r>
                          <w:rPr>
                            <w:rStyle w:val="Policepardfaut"/>
                            <w:rFonts w:cs="Arial" w:ascii="Arial" w:hAnsi="Arial"/>
                            <w:b/>
                            <w:iCs/>
                          </w:rPr>
                          <w:t>C/ Publication d’un nouveau livre</w:t>
                        </w:r>
                        <w:r>
                          <w:rPr>
                            <w:rStyle w:val="Policepardfaut"/>
                            <w:rFonts w:cs="Arial" w:ascii="Arial" w:hAnsi="Arial"/>
                            <w:b/>
                            <w:i/>
                            <w:iCs/>
                          </w:rPr>
                          <w:t> </w:t>
                        </w:r>
                        <w:r>
                          <w:rPr>
                            <w:rStyle w:val="Policepardfaut"/>
                            <w:rFonts w:cs="Arial" w:ascii="Arial" w:hAnsi="Arial"/>
                            <w:b/>
                            <w:iCs/>
                          </w:rPr>
                          <w:t>(</w:t>
                        </w:r>
                        <w:r>
                          <w:rPr>
                            <w:rStyle w:val="Policepardfaut"/>
                            <w:rFonts w:cs="Arial" w:ascii="Arial" w:hAnsi="Arial"/>
                            <w:b/>
                            <w:i/>
                            <w:iCs/>
                          </w:rPr>
                          <w:t>« Ce qui dépend de nous - manifeste pour une relocalisation écologique et solidaire</w:t>
                        </w:r>
                        <w:r>
                          <w:rPr>
                            <w:rStyle w:val="Policepardfaut"/>
                            <w:rFonts w:cs="Arial" w:ascii="Arial" w:hAnsi="Arial"/>
                            <w:b/>
                          </w:rPr>
                          <w:t> »)</w:t>
                        </w:r>
                        <w:r>
                          <w:rPr>
                            <w:rStyle w:val="Policepardfaut"/>
                            <w:rFonts w:cs="Arial" w:ascii="Arial" w:hAnsi="Arial"/>
                          </w:rPr>
                          <w:t xml:space="preserve"> aux éditions Les Liens qui Libèrent (96 pages, 10€). Ce livre est disponible gratuitement sous forme électronique. Nous avons décidé cependant d’en commander quelques exemplaires en version papier à proposer lors de nos différentes manifestations.</w:t>
                        </w:r>
                      </w:p>
                    </w:tc>
                  </w:tr>
                  <w:tr>
                    <w:trPr/>
                    <w:tc>
                      <w:tcPr>
                        <w:tcW w:w="8789" w:type="dxa"/>
                        <w:tcBorders/>
                        <w:shd w:fill="auto" w:val="clear"/>
                        <w:tcMar>
                          <w:right w:w="150" w:type="dxa"/>
                        </w:tcMar>
                      </w:tcPr>
                      <w:p>
                        <w:pPr>
                          <w:pStyle w:val="Normal1"/>
                          <w:spacing w:lineRule="auto" w:line="240" w:before="0" w:after="0"/>
                          <w:rPr>
                            <w:rFonts w:ascii="Arial" w:hAnsi="Arial" w:cs="Arial"/>
                          </w:rPr>
                        </w:pPr>
                        <w:r>
                          <w:rPr>
                            <w:rFonts w:cs="Arial" w:ascii="Arial" w:hAnsi="Arial"/>
                          </w:rPr>
                        </w:r>
                      </w:p>
                    </w:tc>
                  </w:tr>
                </w:tbl>
                <w:p>
                  <w:pPr>
                    <w:pStyle w:val="Normal1"/>
                    <w:spacing w:lineRule="auto" w:line="240" w:before="0" w:after="0"/>
                    <w:rPr>
                      <w:rFonts w:ascii="Arial" w:hAnsi="Arial" w:cs="Arial"/>
                    </w:rPr>
                  </w:pPr>
                  <w:r>
                    <w:rPr>
                      <w:rFonts w:cs="Arial" w:ascii="Arial" w:hAnsi="Arial"/>
                    </w:rPr>
                  </w:r>
                </w:p>
              </w:tc>
            </w:tr>
          </w:tbl>
          <w:p>
            <w:pPr>
              <w:pStyle w:val="Normal1"/>
              <w:spacing w:lineRule="auto" w:line="240" w:before="0" w:after="0"/>
              <w:jc w:val="center"/>
              <w:rPr>
                <w:rFonts w:ascii="Arial" w:hAnsi="Arial" w:cs="Arial"/>
                <w:color w:val="444444"/>
              </w:rPr>
            </w:pPr>
            <w:r>
              <w:rPr>
                <w:rFonts w:cs="Arial" w:ascii="Arial" w:hAnsi="Arial"/>
                <w:color w:val="444444"/>
              </w:rPr>
            </w:r>
          </w:p>
        </w:tc>
      </w:tr>
    </w:tbl>
    <w:p>
      <w:pPr>
        <w:sectPr>
          <w:type w:val="nextPage"/>
          <w:pgSz w:w="11906" w:h="16838"/>
          <w:pgMar w:left="1417" w:right="1133" w:header="0" w:top="851" w:footer="0" w:bottom="851" w:gutter="0"/>
          <w:pgNumType w:fmt="decimal"/>
          <w:formProt w:val="false"/>
          <w:textDirection w:val="lrTb"/>
          <w:docGrid w:type="default" w:linePitch="600" w:charSpace="40960"/>
        </w:sectPr>
      </w:pPr>
    </w:p>
    <w:p>
      <w:pPr>
        <w:pStyle w:val="Normal1"/>
        <w:shd w:fill="FDE9D9" w:val="clear"/>
        <w:spacing w:lineRule="auto" w:line="240" w:before="0" w:after="0"/>
        <w:rPr/>
      </w:pPr>
      <w:r>
        <w:rPr>
          <w:rStyle w:val="Policepardfaut"/>
          <w:rFonts w:cs="Arial" w:ascii="Arial" w:hAnsi="Arial"/>
          <w:b/>
          <w:color w:val="C00000"/>
          <w:sz w:val="24"/>
          <w:szCs w:val="24"/>
          <w:highlight w:val="red"/>
        </w:rPr>
        <w:t>3/ Informations locales</w:t>
      </w:r>
    </w:p>
    <w:p>
      <w:pPr>
        <w:pStyle w:val="Normal1"/>
        <w:shd w:fill="FDE9D9"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pacing w:lineRule="auto" w:line="240" w:before="0" w:after="0"/>
        <w:rPr/>
      </w:pPr>
      <w:r>
        <w:rPr>
          <w:rStyle w:val="Policepardfaut"/>
          <w:rFonts w:cs="Arial" w:ascii="Arial" w:hAnsi="Arial"/>
          <w:b/>
        </w:rPr>
        <w:t>A/ Le mardi 16 juin, la journée de mobilisation nationale pour l’hôpital</w:t>
      </w:r>
      <w:r>
        <w:rPr>
          <w:rStyle w:val="Policepardfaut"/>
          <w:rFonts w:cs="Arial" w:ascii="Arial" w:hAnsi="Arial"/>
        </w:rPr>
        <w:t xml:space="preserve"> a réuni à Périgueux quelques centaines de manifestants parmi lesquels de nombreux agents des professions hospitalières.</w:t>
      </w:r>
    </w:p>
    <w:p>
      <w:pPr>
        <w:pStyle w:val="Normal1"/>
        <w:pBdr>
          <w:bottom w:val="single" w:sz="6" w:space="15" w:color="CCCCCC"/>
        </w:pBdr>
        <w:shd w:fill="FFFFFF" w:val="clear"/>
        <w:spacing w:lineRule="auto" w:line="240" w:before="0" w:after="0"/>
        <w:rPr>
          <w:rFonts w:ascii="Arial" w:hAnsi="Arial" w:cs="Arial"/>
          <w:b/>
          <w:b/>
          <w:color w:val="FF0000"/>
          <w:highlight w:val="white"/>
        </w:rPr>
      </w:pPr>
      <w:r>
        <w:rPr>
          <w:rFonts w:cs="Arial" w:ascii="Arial" w:hAnsi="Arial"/>
          <w:b/>
          <w:color w:val="FF0000"/>
          <w:highlight w:val="white"/>
        </w:rPr>
      </w:r>
    </w:p>
    <w:p>
      <w:pPr>
        <w:pStyle w:val="Normal1"/>
        <w:pBdr>
          <w:bottom w:val="single" w:sz="6" w:space="15" w:color="CCCCCC"/>
        </w:pBdr>
        <w:shd w:fill="FFFFFF" w:val="clear"/>
        <w:spacing w:lineRule="auto" w:line="240" w:before="0" w:after="0"/>
        <w:rPr/>
      </w:pPr>
      <w:r>
        <w:rPr>
          <w:rStyle w:val="Policepardfaut"/>
          <w:rFonts w:cs="Arial" w:ascii="Arial" w:hAnsi="Arial"/>
          <w:b/>
        </w:rPr>
        <w:t xml:space="preserve">B/ Notre assemblée générale devrait se tenir le vendredi 25 septembre </w:t>
      </w:r>
      <w:r>
        <w:rPr>
          <w:rStyle w:val="Policepardfaut"/>
          <w:rFonts w:cs="Arial" w:ascii="Arial" w:hAnsi="Arial"/>
        </w:rPr>
        <w:t>avec</w:t>
      </w:r>
      <w:r>
        <w:rPr>
          <w:rStyle w:val="Policepardfaut"/>
          <w:rFonts w:cs="Arial" w:ascii="Arial" w:hAnsi="Arial"/>
          <w:b/>
        </w:rPr>
        <w:t xml:space="preserve"> </w:t>
      </w:r>
      <w:r>
        <w:rPr>
          <w:rStyle w:val="Policepardfaut"/>
          <w:rFonts w:cs="Arial" w:ascii="Arial" w:hAnsi="Arial"/>
        </w:rPr>
        <w:t xml:space="preserve">Thierry Brugvin, membre du conseil scientifique d’Attac, qui animera un débat sur le thème de son livre </w:t>
      </w:r>
      <w:r>
        <w:rPr>
          <w:rStyle w:val="Policepardfaut"/>
          <w:rFonts w:cs="Arial" w:ascii="Arial" w:hAnsi="Arial"/>
          <w:bCs/>
        </w:rPr>
        <w:t>« Qui dirige le monde ? La finance, l’idéologie, la psychologie...? »</w:t>
      </w:r>
    </w:p>
    <w:p>
      <w:pPr>
        <w:pStyle w:val="Normal1"/>
        <w:pBdr>
          <w:bottom w:val="single" w:sz="6" w:space="15" w:color="CCCCCC"/>
        </w:pBdr>
        <w:shd w:fill="FFFFFF" w:val="clear"/>
        <w:spacing w:lineRule="auto" w:line="240" w:before="0" w:after="0"/>
        <w:rPr>
          <w:rFonts w:ascii="Arial" w:hAnsi="Arial" w:cs="Arial"/>
          <w:bCs/>
        </w:rPr>
      </w:pPr>
      <w:r>
        <w:rPr>
          <w:rFonts w:cs="Arial" w:ascii="Arial" w:hAnsi="Arial"/>
          <w:bCs/>
        </w:rPr>
        <w:t>- AG à 18 heures</w:t>
      </w:r>
    </w:p>
    <w:p>
      <w:pPr>
        <w:pStyle w:val="Normal1"/>
        <w:pBdr>
          <w:bottom w:val="single" w:sz="6" w:space="15" w:color="CCCCCC"/>
        </w:pBdr>
        <w:shd w:fill="FFFFFF" w:val="clear"/>
        <w:spacing w:lineRule="auto" w:line="240" w:before="0" w:after="0"/>
        <w:rPr>
          <w:rFonts w:ascii="Arial" w:hAnsi="Arial" w:cs="Arial"/>
          <w:bCs/>
        </w:rPr>
      </w:pPr>
      <w:r>
        <w:rPr>
          <w:rFonts w:cs="Arial" w:ascii="Arial" w:hAnsi="Arial"/>
          <w:bCs/>
        </w:rPr>
        <w:t>- Buffet partagé à 19 heures</w:t>
      </w:r>
    </w:p>
    <w:p>
      <w:pPr>
        <w:pStyle w:val="Normal1"/>
        <w:pBdr>
          <w:bottom w:val="single" w:sz="6" w:space="15" w:color="CCCCCC"/>
        </w:pBdr>
        <w:shd w:fill="FFFFFF" w:val="clear"/>
        <w:spacing w:lineRule="auto" w:line="240" w:before="0" w:after="0"/>
        <w:rPr>
          <w:rFonts w:ascii="Arial" w:hAnsi="Arial" w:cs="Arial"/>
          <w:bCs/>
        </w:rPr>
      </w:pPr>
      <w:r>
        <w:rPr>
          <w:rFonts w:cs="Arial" w:ascii="Arial" w:hAnsi="Arial"/>
          <w:bCs/>
        </w:rPr>
        <w:t>- Intervention de Thierry Brugvin à partir de 20 heures.</w:t>
      </w:r>
    </w:p>
    <w:p>
      <w:pPr>
        <w:pStyle w:val="Normal1"/>
        <w:pBdr>
          <w:bottom w:val="single" w:sz="6" w:space="15" w:color="CCCCCC"/>
        </w:pBdr>
        <w:shd w:fill="FFFFFF" w:val="clear"/>
        <w:spacing w:lineRule="auto" w:line="240" w:before="0" w:after="0"/>
        <w:rPr>
          <w:rFonts w:ascii="Arial" w:hAnsi="Arial" w:cs="Arial"/>
          <w:b/>
          <w:b/>
          <w:highlight w:val="white"/>
        </w:rPr>
      </w:pPr>
      <w:r>
        <w:rPr>
          <w:rFonts w:cs="Arial" w:ascii="Arial" w:hAnsi="Arial"/>
          <w:b/>
          <w:highlight w:val="white"/>
        </w:rPr>
      </w:r>
    </w:p>
    <w:p>
      <w:pPr>
        <w:pStyle w:val="Normal1"/>
        <w:pBdr>
          <w:bottom w:val="single" w:sz="6" w:space="15" w:color="CCCCCC"/>
        </w:pBdr>
        <w:shd w:fill="FFFFFF" w:val="clear"/>
        <w:spacing w:lineRule="auto" w:line="240" w:before="0" w:after="0"/>
        <w:rPr/>
      </w:pPr>
      <w:r>
        <w:rPr>
          <w:rStyle w:val="Policepardfaut"/>
          <w:rFonts w:cs="Arial" w:ascii="Arial" w:hAnsi="Arial"/>
          <w:b/>
          <w:highlight w:val="white"/>
        </w:rPr>
        <w:t>C/</w:t>
      </w:r>
      <w:r>
        <w:rPr>
          <w:rStyle w:val="Policepardfaut"/>
          <w:rFonts w:cs="Arial" w:ascii="Arial" w:hAnsi="Arial"/>
          <w:highlight w:val="white"/>
        </w:rPr>
        <w:t xml:space="preserve"> La reprise des activités de Cinécinéma à  Périgueux va nous permettre d’accompagner la </w:t>
      </w:r>
      <w:r>
        <w:rPr>
          <w:rStyle w:val="Policepardfaut"/>
          <w:rFonts w:cs="Arial" w:ascii="Arial" w:hAnsi="Arial"/>
          <w:b/>
          <w:highlight w:val="white"/>
        </w:rPr>
        <w:t>projection du film réalisé par Thomas Piketty et Justin Pemberton « Le capital au XXIème siècle »,</w:t>
      </w:r>
      <w:r>
        <w:rPr>
          <w:rStyle w:val="Policepardfaut"/>
          <w:rFonts w:cs="Arial" w:ascii="Arial" w:hAnsi="Arial"/>
          <w:highlight w:val="white"/>
        </w:rPr>
        <w:t xml:space="preserve"> f</w:t>
      </w:r>
      <w:r>
        <w:rPr>
          <w:rStyle w:val="Policepardfaut"/>
          <w:rFonts w:cs="Arial" w:ascii="Arial" w:hAnsi="Arial"/>
        </w:rPr>
        <w:t>ilm qui met en perspective la richesse et le pouvoir d’un côté, et de l’autre le progrès social et les inégalités. Jean-Marie HARRIBEY, membre du conseil scientifique d’ATTAC, vient de nous donner son accord pour animer un débat après la</w:t>
      </w:r>
      <w:r>
        <w:rPr>
          <w:rStyle w:val="Policepardfaut"/>
          <w:rFonts w:cs="Arial" w:ascii="Arial" w:hAnsi="Arial"/>
          <w:b/>
        </w:rPr>
        <w:t xml:space="preserve"> projection du film qui aura lieu le mercredi 30 septembre prochain.</w:t>
      </w:r>
    </w:p>
    <w:p>
      <w:pPr>
        <w:pStyle w:val="Normal1"/>
        <w:pBdr>
          <w:bottom w:val="single" w:sz="6" w:space="15" w:color="CCCCCC"/>
        </w:pBdr>
        <w:shd w:fill="FFFFFF" w:val="clear"/>
        <w:spacing w:lineRule="auto" w:line="240" w:before="0" w:after="0"/>
        <w:rPr/>
      </w:pPr>
      <w:r>
        <w:rPr>
          <w:rStyle w:val="Policepardfaut"/>
          <w:rFonts w:cs="Arial" w:ascii="Arial" w:hAnsi="Arial"/>
        </w:rPr>
        <w:t>Les comités locaux d’Attac proposent tout au long de l’année des ciné-débats qui permettent de sensibiliser un public élargi autour de sujets sur lesquels nous agissons. Ces comités partagent leurs idées de projections dans la</w:t>
      </w:r>
      <w:r>
        <w:rPr>
          <w:rStyle w:val="Policepardfaut"/>
          <w:rFonts w:cs="Arial" w:ascii="Arial" w:hAnsi="Arial"/>
          <w:b/>
        </w:rPr>
        <w:t> </w:t>
      </w:r>
      <w:hyperlink r:id="rId19" w:tgtFrame="_top">
        <w:r>
          <w:rPr>
            <w:rStyle w:val="Lienhypertexte"/>
            <w:rFonts w:cs="Arial" w:ascii="Arial" w:hAnsi="Arial"/>
            <w:color w:val="C00000"/>
          </w:rPr>
          <w:t xml:space="preserve">rubrique Cinéma </w:t>
        </w:r>
        <w:bookmarkStart w:id="12" w:name="_Hlt44365064"/>
        <w:r>
          <w:rPr>
            <w:rStyle w:val="Lienhypertexte"/>
            <w:rFonts w:cs="Arial" w:ascii="Arial" w:hAnsi="Arial"/>
            <w:color w:val="C00000"/>
          </w:rPr>
          <w:t>d</w:t>
        </w:r>
        <w:bookmarkEnd w:id="12"/>
        <w:r>
          <w:rPr>
            <w:rStyle w:val="Lienhypertexte"/>
            <w:rFonts w:cs="Arial" w:ascii="Arial" w:hAnsi="Arial"/>
            <w:color w:val="C00000"/>
          </w:rPr>
          <w:t>u site Vie interne</w:t>
        </w:r>
      </w:hyperlink>
      <w:r>
        <w:rPr>
          <w:rStyle w:val="Policepardfaut"/>
          <w:rFonts w:cs="Arial" w:ascii="Arial" w:hAnsi="Arial"/>
          <w:color w:val="C00000"/>
        </w:rPr>
        <w:t>.</w:t>
      </w:r>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r>
    </w:p>
    <w:p>
      <w:pPr>
        <w:pStyle w:val="Normal1"/>
        <w:pBdr>
          <w:bottom w:val="single" w:sz="6" w:space="15" w:color="CCCCCC"/>
        </w:pBdr>
        <w:shd w:fill="FFFFFF" w:val="clear"/>
        <w:spacing w:lineRule="auto" w:line="240" w:before="0" w:after="0"/>
        <w:rPr/>
      </w:pPr>
      <w:r>
        <w:rPr>
          <w:rStyle w:val="Policepardfaut"/>
          <w:rFonts w:cs="Arial" w:ascii="Arial" w:hAnsi="Arial"/>
          <w:b/>
        </w:rPr>
        <w:t>D/ Collecte des déchets ménagers et redevance incitative :</w:t>
      </w:r>
      <w:r>
        <w:rPr>
          <w:rStyle w:val="Policepardfaut"/>
          <w:rFonts w:cs="Arial" w:ascii="Arial" w:hAnsi="Arial"/>
        </w:rPr>
        <w:t xml:space="preserve"> en Dordogne se met en place un dispositif de diminution de la production de déchets ménagers par l’instauration d’une redevance tenant compte du poids des déchets déposés. Ce dispositif - à finalité environnementale en apparence – soulève cependant plusieurs problèmes objets de contestation : éloignement des points de collecte particulièrement défavorables aux personnes âgées ou handicapées, augmentation du coût pour les familles nombreuses, risque à terme d’une délégation départementale du service à une société privée. </w:t>
      </w:r>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r>
    </w:p>
    <w:p>
      <w:pPr>
        <w:pStyle w:val="Normal1"/>
        <w:pBdr>
          <w:bottom w:val="single" w:sz="6" w:space="15" w:color="CCCCCC"/>
        </w:pBdr>
        <w:shd w:fill="FFFFFF" w:val="clear"/>
        <w:spacing w:lineRule="auto" w:line="240" w:before="0" w:after="0"/>
        <w:rPr/>
      </w:pPr>
      <w:r>
        <w:rPr>
          <w:rStyle w:val="Policepardfaut"/>
          <w:rFonts w:cs="Arial" w:ascii="Arial" w:hAnsi="Arial"/>
          <w:b/>
        </w:rPr>
        <w:t>E/</w:t>
      </w:r>
      <w:r>
        <w:rPr>
          <w:rStyle w:val="Policepardfaut"/>
          <w:rFonts w:cs="Arial" w:ascii="Arial" w:hAnsi="Arial"/>
        </w:rPr>
        <w:t xml:space="preserve"> </w:t>
      </w:r>
      <w:r>
        <w:rPr>
          <w:rStyle w:val="Policepardfaut"/>
          <w:rFonts w:cs="Arial" w:ascii="Arial" w:hAnsi="Arial"/>
          <w:b/>
        </w:rPr>
        <w:t>L’écocentre de Saint-Pierre-de-Frugie</w:t>
      </w:r>
      <w:r>
        <w:rPr>
          <w:rStyle w:val="Policepardfaut"/>
          <w:rFonts w:cs="Arial" w:ascii="Arial" w:hAnsi="Arial"/>
        </w:rPr>
        <w:t xml:space="preserve"> propose plusieurs rencontres où nous pourrions nous retrouver :</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dimanche 12 juillet : journées portes ouvertes avec un repair café, une zone de gratuité, etc</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 dimanche 4 octobre : fête de la nature.</w:t>
      </w:r>
    </w:p>
    <w:p>
      <w:pPr>
        <w:pStyle w:val="Normal1"/>
        <w:shd w:fill="FDE9D9"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Normal1"/>
        <w:shd w:fill="FDE9D9"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t>Prochain CA : le jeudi 23 juillet à 18 heures à la Bourse du Travail</w:t>
      </w:r>
    </w:p>
    <w:p>
      <w:pPr>
        <w:pStyle w:val="Normal1"/>
        <w:shd w:fill="FDE9D9"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Normal1"/>
        <w:suppressAutoHyphens w:val="false"/>
        <w:spacing w:lineRule="atLeast" w:line="285" w:before="0" w:after="0"/>
        <w:textAlignment w:val="auto"/>
        <w:rPr/>
      </w:pPr>
      <w:r>
        <w:rPr/>
      </w:r>
      <w:bookmarkStart w:id="13" w:name="_GoBack"/>
      <w:bookmarkStart w:id="14" w:name="_GoBack"/>
      <w:bookmarkEnd w:id="14"/>
    </w:p>
    <w:sectPr>
      <w:type w:val="continuous"/>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kkuratStd">
    <w:charset w:val="01"/>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Caps1">
    <w:name w:val="caps1"/>
    <w:basedOn w:val="Policepardfaut"/>
    <w:qFormat/>
    <w:rPr>
      <w:smallCaps/>
    </w:rPr>
  </w:style>
  <w:style w:type="character" w:styleId="Ox08535ac5b2chevron">
    <w:name w:val="ox-08535ac5b2-chevron"/>
    <w:basedOn w:val="Policepardfaut"/>
    <w:qFormat/>
    <w:rPr/>
  </w:style>
  <w:style w:type="character" w:styleId="Ox7ac6ae31eachevron">
    <w:name w:val="ox-7ac6ae31ea-chevron"/>
    <w:basedOn w:val="Policepardfaut"/>
    <w:qFormat/>
    <w:rPr/>
  </w:style>
  <w:style w:type="character" w:styleId="Yzlgbd">
    <w:name w:val="yzlgbd"/>
    <w:basedOn w:val="Policepardfaut"/>
    <w:qFormat/>
    <w:rPr/>
  </w:style>
  <w:style w:type="character" w:styleId="W8qarf">
    <w:name w:val="w8qarf"/>
    <w:basedOn w:val="Policepardfaut"/>
    <w:qFormat/>
    <w:rPr/>
  </w:style>
  <w:style w:type="character" w:styleId="Lrzxr">
    <w:name w:val="lrzxr"/>
    <w:basedOn w:val="Policepardfaut"/>
    <w:qFormat/>
    <w:rPr/>
  </w:style>
  <w:style w:type="character" w:styleId="Ox4833bdc6ddchevron">
    <w:name w:val="ox-4833bdc6dd-chevron"/>
    <w:basedOn w:val="Policepardfaut"/>
    <w:qFormat/>
    <w:rPr/>
  </w:style>
  <w:style w:type="character" w:styleId="Auteurs">
    <w:name w:val="auteurs"/>
    <w:basedOn w:val="Policepardfaut"/>
    <w:qFormat/>
    <w:rPr/>
  </w:style>
  <w:style w:type="character" w:styleId="Divider3">
    <w:name w:val="divider3"/>
    <w:basedOn w:val="Policepardfaut"/>
    <w:qFormat/>
    <w:rPr/>
  </w:style>
  <w:style w:type="character" w:styleId="Spacer">
    <w:name w:val="spacer"/>
    <w:basedOn w:val="Policepardfaut"/>
    <w:qFormat/>
    <w:rPr/>
  </w:style>
  <w:style w:type="character" w:styleId="Ligth">
    <w:name w:val="ligth"/>
    <w:basedOn w:val="Policepardfaut"/>
    <w:qFormat/>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Normal1"/>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name w:val="ox-4e26ec2027-ydp3220cd1yiv8522652211msonormal"/>
    <w:basedOn w:val="Normal1"/>
    <w:qFormat/>
    <w:pPr>
      <w:suppressAutoHyphens w:val="false"/>
      <w:spacing w:lineRule="auto" w:line="240" w:before="100" w:after="100"/>
      <w:textAlignment w:val="auto"/>
    </w:pPr>
    <w:rPr>
      <w:rFonts w:ascii="Times New Roman" w:hAnsi="Times New Roman"/>
      <w:sz w:val="24"/>
      <w:szCs w:val="24"/>
    </w:rPr>
  </w:style>
  <w:style w:type="paragraph" w:styleId="Publication1">
    <w:name w:val="publication1"/>
    <w:basedOn w:val="Normal1"/>
    <w:qFormat/>
    <w:pPr>
      <w:suppressAutoHyphens w:val="false"/>
      <w:spacing w:lineRule="atLeast" w:line="285" w:before="0" w:after="100"/>
      <w:textAlignment w:val="auto"/>
    </w:pPr>
    <w:rPr>
      <w:rFonts w:ascii="AkkuratStd" w:hAnsi="AkkuratStd"/>
      <w:vanish/>
      <w:color w:val="000000"/>
      <w:sz w:val="23"/>
      <w:szCs w:val="23"/>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france.attac.org/se-mobiliser/que-faire-face-au-coronavirus/article/action-renforcons-la-pression-sur-nos-depute-e-s-pour-que-le-parlement-adopte" TargetMode="External"/><Relationship Id="rId7" Type="http://schemas.openxmlformats.org/officeDocument/2006/relationships/hyperlink" Target="https://france.attac.org/se-mobiliser/que-faire-face-au-coronavirus/article/prelever-une-contribution-exceptionnelle-sur-le-patrimoine-des-1-les-plus" TargetMode="External"/><Relationship Id="rId8" Type="http://schemas.openxmlformats.org/officeDocument/2006/relationships/hyperlink" Target="https://france.attac.org/se-mobiliser/que-faire-face-au-coronavirus/article/retablir-et-renover-l-impot-de-solidarite-sur-la-fortune" TargetMode="External"/><Relationship Id="rId9" Type="http://schemas.openxmlformats.org/officeDocument/2006/relationships/hyperlink" Target="https://france.attac.org/se-mobiliser/que-faire-face-au-coronavirus/article/retablir-la-progressivite-de-l-imposition-des-revenus-financiers" TargetMode="External"/><Relationship Id="rId10" Type="http://schemas.openxmlformats.org/officeDocument/2006/relationships/hyperlink" Target="https://france.attac.org/se-mobiliser/que-faire-face-au-coronavirus/article/supprimer-les-niches-fiscales-inutiles-et-les-exonerations-anti-ecologiques" TargetMode="External"/><Relationship Id="rId11" Type="http://schemas.openxmlformats.org/officeDocument/2006/relationships/hyperlink" Target="https://france.attac.org/se-mobiliser/que-faire-face-au-coronavirus/article/instaurer-la-taxation-unitaire-des-multinationales-pour-lutter-contre-l-evasion" TargetMode="External"/><Relationship Id="rId12" Type="http://schemas.openxmlformats.org/officeDocument/2006/relationships/hyperlink" Target="https://france.attac.org/se-mobiliser/que-faire-face-au-coronavirus/article/taxer-l-ensemble-des-transactions-financieres" TargetMode="External"/><Relationship Id="rId13" Type="http://schemas.openxmlformats.org/officeDocument/2006/relationships/hyperlink" Target="https://www.change.org/p/emmanuel-macron-revalorisez-les-emplois-f&#233;minis&#233;s?pk_campaign=Infolettre-2474&amp;pk_kwd=www-change-org-p-emmanuel-macron" TargetMode="External"/><Relationship Id="rId14" Type="http://schemas.openxmlformats.org/officeDocument/2006/relationships/hyperlink" Target="https://adherez.attac.org/sites/all/modules/civicrm/extern/url.php?u=15322&amp;qid=12236035" TargetMode="External"/><Relationship Id="rId15" Type="http://schemas.openxmlformats.org/officeDocument/2006/relationships/hyperlink" Target="https://france.attac.org/auteur/catherine-bloch-london" TargetMode="External"/><Relationship Id="rId16" Type="http://schemas.openxmlformats.org/officeDocument/2006/relationships/hyperlink" Target="https://france.attac.org/auteur/christiane-marty" TargetMode="External"/><Relationship Id="rId17" Type="http://schemas.openxmlformats.org/officeDocument/2006/relationships/hyperlink" Target="https://vie-interne.attac.org/espaces-de-travail/alternatives/article/en-quoi-les-alternatives-concretes-ont-elles-une-portee-politique?pk_campaign=Infolettre-2474&amp;pk_k" TargetMode="External"/><Relationship Id="rId18" Type="http://schemas.openxmlformats.org/officeDocument/2006/relationships/hyperlink" Target="https://adherez.attac.org/sites/all/modules/civicrm/extern/url.php?u=15327&amp;qid=12236035" TargetMode="External"/><Relationship Id="rId19" Type="http://schemas.openxmlformats.org/officeDocument/2006/relationships/hyperlink" Target="https://adherez.attac.org/sites/all/modules/civicrm/extern/url.php?u=15329&amp;qid=12236035"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622</TotalTime>
  <Application>LibreOffice/6.0.7.3$Linux_X86_64 LibreOffice_project/00m0$Build-3</Application>
  <Pages>1</Pages>
  <Words>1305</Words>
  <Characters>7183</Characters>
  <CharactersWithSpaces>8472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2019-12-02T13:20:00Z</dcterms:created>
  <dc:creator>Maryse</dc:creator>
  <dc:description/>
  <dc:language>fr-FR</dc:language>
  <cp:lastModifiedBy>Jean LALANNE</cp:lastModifiedBy>
  <cp:lastPrinted>2020-06-30T09:34:00Z</cp:lastPrinted>
  <dcterms:modified xsi:type="dcterms:W3CDTF">2020-07-01T13:10:00Z</dcterms:modified>
  <cp:revision>62</cp:revision>
  <dc:subject/>
  <dc:title/>
</cp:coreProperties>
</file>