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  <w:insideH w:val="outset" w:sz="2" w:space="0" w:color="000000"/>
          <w:insideV w:val="outset" w:sz="2" w:space="0" w:color="000000"/>
        </w:tblBorders>
        <w:tblCellMar>
          <w:top w:w="75" w:type="dxa"/>
          <w:left w:w="67" w:type="dxa"/>
          <w:bottom w:w="75" w:type="dxa"/>
          <w:right w:w="75" w:type="dxa"/>
        </w:tblCellMar>
      </w:tblPr>
      <w:tblGrid>
        <w:gridCol w:w="1256"/>
        <w:gridCol w:w="4822"/>
        <w:gridCol w:w="158"/>
        <w:gridCol w:w="3120"/>
      </w:tblGrid>
      <w:tr>
        <w:trPr>
          <w:trHeight w:val="1613" w:hRule="atLeast"/>
        </w:trPr>
        <w:tc>
          <w:tcPr>
            <w:tcW w:w="1256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</w:tcPr>
          <w:p>
            <w:pPr>
              <w:pStyle w:val="Normal1"/>
              <w:spacing w:lineRule="auto" w:line="240" w:before="100" w:after="100"/>
              <w:rPr>
                <w:rStyle w:val="Policepardfaut"/>
                <w:color w:val="C00000"/>
                <w:sz w:val="20"/>
                <w:szCs w:val="20"/>
              </w:rPr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107315</wp:posOffset>
                  </wp:positionV>
                  <wp:extent cx="438150" cy="552450"/>
                  <wp:effectExtent l="0" t="0" r="0" b="0"/>
                  <wp:wrapNone/>
                  <wp:docPr id="1" name="Imag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Start w:id="1" w:name="_GoBack"/>
            <w:bookmarkEnd w:id="1"/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>
                <w:b/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</w:r>
          </w:p>
          <w:p>
            <w:pPr>
              <w:pStyle w:val="Normal1"/>
              <w:spacing w:lineRule="auto" w:line="240" w:before="100" w:after="100"/>
              <w:rPr/>
            </w:pP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PERIGUEUX</w:t>
            </w:r>
            <w:r>
              <w:rPr>
                <w:rStyle w:val="Policepardfaut"/>
                <w:rFonts w:ascii="Times New Roman" w:hAnsi="Times New Roman"/>
                <w:color w:val="C00000"/>
                <w:sz w:val="20"/>
                <w:szCs w:val="20"/>
              </w:rPr>
              <w:t>-</w:t>
            </w:r>
            <w:r>
              <w:rPr>
                <w:rStyle w:val="Policepardfaut"/>
                <w:b/>
                <w:bCs/>
                <w:color w:val="C00000"/>
                <w:sz w:val="20"/>
                <w:szCs w:val="20"/>
              </w:rPr>
              <w:t>NONTRON</w:t>
            </w:r>
          </w:p>
        </w:tc>
        <w:tc>
          <w:tcPr>
            <w:tcW w:w="4822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kern w:val="2"/>
              </w:rPr>
            </w:pPr>
            <w:r>
              <w:rPr>
                <w:rFonts w:cs="Arial" w:ascii="Arial" w:hAnsi="Arial"/>
                <w:b/>
                <w:bCs/>
                <w:kern w:val="2"/>
              </w:rPr>
              <w:t xml:space="preserve">Contacts : </w:t>
            </w:r>
          </w:p>
          <w:p>
            <w:pPr>
              <w:pStyle w:val="Normal1"/>
              <w:spacing w:lineRule="auto" w:line="240" w:before="0" w:after="0"/>
              <w:rPr/>
            </w:pPr>
            <w:hyperlink r:id="rId3" w:tgtFrame="_top">
              <w:r>
                <w:rPr>
                  <w:rStyle w:val="Policepardfaut"/>
                  <w:rFonts w:cs="Arial" w:ascii="Arial" w:hAnsi="Arial"/>
                  <w:color w:val="0000FF"/>
                  <w:u w:val="single"/>
                </w:rPr>
                <w:t>perigueux@attac.org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4" w:tgtFrame="_top">
              <w:r>
                <w:rPr>
                  <w:rStyle w:val="Lienhypertexte"/>
                  <w:rFonts w:cs="Arial" w:ascii="Arial" w:hAnsi="Arial"/>
                </w:rPr>
                <w:t>http://local.attac.org/attac24/</w:t>
              </w:r>
            </w:hyperlink>
          </w:p>
          <w:p>
            <w:pPr>
              <w:pStyle w:val="Normal1"/>
              <w:spacing w:lineRule="auto" w:line="240" w:before="0" w:after="0"/>
              <w:rPr/>
            </w:pPr>
            <w:hyperlink r:id="rId5" w:tgtFrame="_top">
              <w:r>
                <w:rPr>
                  <w:rStyle w:val="Lienhypertexte"/>
                  <w:rFonts w:cs="Arial" w:ascii="Arial" w:hAnsi="Arial"/>
                </w:rPr>
                <w:t>https://www.facebook.com/attac.perigueux.nontron</w:t>
              </w:r>
            </w:hyperlink>
            <w:r>
              <w:rPr>
                <w:rStyle w:val="Policepardfaut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20" w:type="dxa"/>
            <w:tcBorders>
              <w:top w:val="outset" w:sz="2" w:space="0" w:color="000000"/>
              <w:left w:val="outset" w:sz="2" w:space="0" w:color="000000"/>
              <w:bottom w:val="outset" w:sz="2" w:space="0" w:color="000000"/>
              <w:right w:val="outset" w:sz="2" w:space="0" w:color="000000"/>
              <w:insideH w:val="outset" w:sz="2" w:space="0" w:color="000000"/>
              <w:insideV w:val="outset" w:sz="2" w:space="0" w:color="000000"/>
            </w:tcBorders>
            <w:shd w:fill="auto" w:val="clear"/>
            <w:vAlign w:val="center"/>
          </w:tcPr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  <w:kern w:val="2"/>
              </w:rPr>
              <w:t>Il s’agit tout simplement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de se réapproprier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ensemble</w:t>
            </w:r>
          </w:p>
          <w:p>
            <w:pPr>
              <w:pStyle w:val="Normal1"/>
              <w:spacing w:lineRule="auto" w:line="240" w:before="0" w:after="0"/>
              <w:jc w:val="center"/>
              <w:rPr/>
            </w:pPr>
            <w:r>
              <w:rPr>
                <w:rStyle w:val="Policepardfaut"/>
                <w:rFonts w:cs="Arial" w:ascii="Arial" w:hAnsi="Arial"/>
                <w:b/>
                <w:bCs/>
                <w:i/>
                <w:iCs/>
              </w:rPr>
              <w:t>l’avenir de notre monde</w:t>
            </w:r>
          </w:p>
        </w:tc>
      </w:tr>
    </w:tbl>
    <w:p>
      <w:pPr>
        <w:pStyle w:val="Normal1"/>
        <w:spacing w:before="0" w:after="0"/>
        <w:rPr>
          <w:vanish/>
        </w:rPr>
      </w:pPr>
      <w:r>
        <w:rPr>
          <w:vanish/>
        </w:rPr>
      </w:r>
    </w:p>
    <w:p>
      <w:pPr>
        <w:pStyle w:val="Normal1"/>
        <w:spacing w:lineRule="auto" w:line="240" w:before="0" w:after="0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sz w:val="28"/>
          <w:szCs w:val="28"/>
        </w:rPr>
        <w:t>Présents:</w:t>
      </w:r>
      <w:r>
        <w:rPr>
          <w:rStyle w:val="Policepardfaut"/>
          <w:rFonts w:cs="Arial" w:ascii="Arial" w:hAnsi="Arial"/>
          <w:sz w:val="28"/>
          <w:szCs w:val="28"/>
        </w:rPr>
        <w:t xml:space="preserve"> Paul, Michel Bastide, Jean Lalanne, Claude Micmacher, Christian Naudet, Jean-Francis Parisis, Bastien Paysant, Françoise Rebière, Hugo Szymczak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pacing w:lineRule="auto" w:line="240" w:before="0" w:after="0"/>
        <w:jc w:val="center"/>
        <w:rPr/>
      </w:pP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Compte rendu 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c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>onseil d’administration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du</w:t>
      </w:r>
      <w:r>
        <w:rPr>
          <w:rStyle w:val="Policepardfaut"/>
          <w:rFonts w:cs="Arial" w:ascii="Arial" w:hAnsi="Arial"/>
          <w:color w:val="C00000"/>
          <w:sz w:val="28"/>
          <w:szCs w:val="28"/>
        </w:rPr>
        <w:t xml:space="preserve"> </w:t>
      </w:r>
      <w:r>
        <w:rPr>
          <w:rStyle w:val="Policepardfaut"/>
          <w:rFonts w:cs="Arial" w:ascii="Arial" w:hAnsi="Arial"/>
          <w:b/>
          <w:color w:val="C00000"/>
          <w:sz w:val="28"/>
          <w:szCs w:val="28"/>
        </w:rPr>
        <w:t>16 janvier</w:t>
      </w:r>
      <w:r>
        <w:rPr>
          <w:rStyle w:val="Policepardfaut"/>
          <w:rFonts w:cs="Arial" w:ascii="Arial" w:hAnsi="Arial"/>
          <w:b/>
          <w:bCs/>
          <w:color w:val="C00000"/>
          <w:sz w:val="28"/>
          <w:szCs w:val="28"/>
        </w:rPr>
        <w:t xml:space="preserve"> 2019</w:t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1 / Manifestations des « Gilets jaunes »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Titre1"/>
        <w:numPr>
          <w:ilvl w:val="0"/>
          <w:numId w:val="1"/>
        </w:numPr>
        <w:tabs>
          <w:tab w:val="left" w:pos="0" w:leader="none"/>
        </w:tabs>
        <w:spacing w:before="0" w:after="0"/>
        <w:ind w:left="0" w:hanging="0"/>
        <w:rPr/>
      </w:pPr>
      <w:r>
        <w:rPr>
          <w:rStyle w:val="Crayon"/>
          <w:rFonts w:cs="Arial" w:ascii="Arial" w:hAnsi="Arial"/>
          <w:color w:val="231F20"/>
          <w:sz w:val="28"/>
          <w:szCs w:val="28"/>
        </w:rPr>
        <w:t xml:space="preserve">Attac France a publié le 11 janvier le communiqué de soutien suivant aux gilets jaunes : </w:t>
      </w:r>
      <w:r>
        <w:rPr>
          <w:rStyle w:val="Crayon"/>
          <w:rFonts w:cs="Arial" w:ascii="Arial" w:hAnsi="Arial"/>
          <w:b w:val="false"/>
          <w:color w:val="231F20"/>
          <w:sz w:val="28"/>
          <w:szCs w:val="28"/>
        </w:rPr>
        <w:t>« </w:t>
      </w:r>
      <w:r>
        <w:rPr>
          <w:rStyle w:val="Policepardfaut"/>
          <w:rFonts w:cs="Arial" w:ascii="Arial" w:hAnsi="Arial"/>
          <w:b w:val="false"/>
          <w:i/>
          <w:color w:val="231F20"/>
          <w:sz w:val="28"/>
          <w:szCs w:val="28"/>
        </w:rPr>
        <w:t xml:space="preserve">Emmanuel Macron reste sourd face aux demandes légitimes des gilets jaunes qui réclament plus de justice fiscale et sociale ! Pire, le gouvernement d’Édouard Philippe tente d’intimider le mouvement des gilets jaunes en mettant en place des mesures liberticides pour restreindre le droit de manifester. </w:t>
      </w:r>
      <w:r>
        <w:rPr>
          <w:rStyle w:val="Policepardfaut"/>
          <w:rFonts w:cs="Arial" w:ascii="Arial" w:hAnsi="Arial"/>
          <w:i/>
          <w:color w:val="231F20"/>
          <w:sz w:val="28"/>
          <w:szCs w:val="28"/>
        </w:rPr>
        <w:t>Attac appelle ses adhérent·e·s, ses comités locaux, à lutter aux côtés des gilets jaunes pour réconcilier justice fiscale, sociale et environnementale</w:t>
      </w:r>
      <w:r>
        <w:rPr>
          <w:rStyle w:val="Policepardfaut"/>
          <w:rFonts w:cs="Arial" w:ascii="Arial" w:hAnsi="Arial"/>
          <w:b w:val="false"/>
          <w:color w:val="231F20"/>
          <w:sz w:val="28"/>
          <w:szCs w:val="28"/>
        </w:rPr>
        <w:t> ».</w:t>
      </w:r>
    </w:p>
    <w:p>
      <w:pPr>
        <w:pStyle w:val="Titre1"/>
        <w:numPr>
          <w:ilvl w:val="0"/>
          <w:numId w:val="1"/>
        </w:numPr>
        <w:tabs>
          <w:tab w:val="left" w:pos="0" w:leader="none"/>
        </w:tabs>
        <w:spacing w:before="0" w:after="0"/>
        <w:ind w:left="0" w:hanging="0"/>
        <w:rPr/>
      </w:pPr>
      <w:r>
        <w:rPr>
          <w:rStyle w:val="Policepardfaut"/>
          <w:rFonts w:cs="Arial" w:ascii="Arial" w:hAnsi="Arial"/>
          <w:b w:val="false"/>
          <w:color w:val="231F20"/>
          <w:sz w:val="28"/>
          <w:szCs w:val="28"/>
        </w:rPr>
        <w:t xml:space="preserve">Le comité local de Périgueux propose donc à ses adhérents de participer à la première marche départementale des Gilets jaunes de Dordogne qui aura lieu à </w:t>
      </w:r>
      <w:r>
        <w:rPr>
          <w:rStyle w:val="Policepardfaut"/>
          <w:rFonts w:cs="Arial" w:ascii="Arial" w:hAnsi="Arial"/>
          <w:color w:val="231F20"/>
          <w:sz w:val="28"/>
          <w:szCs w:val="28"/>
        </w:rPr>
        <w:t>Bergerac le samedi 19 janvier</w:t>
      </w:r>
      <w:r>
        <w:rPr>
          <w:rStyle w:val="Policepardfaut"/>
          <w:rFonts w:cs="Arial" w:ascii="Arial" w:hAnsi="Arial"/>
          <w:b w:val="false"/>
          <w:color w:val="231F20"/>
          <w:sz w:val="28"/>
          <w:szCs w:val="28"/>
        </w:rPr>
        <w:t xml:space="preserve"> : </w:t>
      </w:r>
      <w:r>
        <w:rPr>
          <w:rStyle w:val="Policepardfaut"/>
          <w:rFonts w:cs="Arial" w:ascii="Arial" w:hAnsi="Arial"/>
          <w:color w:val="231F20"/>
          <w:sz w:val="28"/>
          <w:szCs w:val="28"/>
        </w:rPr>
        <w:t xml:space="preserve">rassemblement à 14 heures </w:t>
      </w:r>
      <w:r>
        <w:rPr>
          <w:rStyle w:val="Ox7bba3fb943gmailm6234822363638324052gmailhascaption"/>
          <w:rFonts w:cs="Arial" w:ascii="Arial" w:hAnsi="Arial"/>
          <w:color w:val="333333"/>
          <w:sz w:val="28"/>
          <w:szCs w:val="28"/>
        </w:rPr>
        <w:t>devant le tribunal</w:t>
      </w:r>
      <w:r>
        <w:rPr>
          <w:rStyle w:val="Ox7bba3fb943gmailm6234822363638324052gmailhascaption"/>
          <w:rFonts w:cs="Arial" w:ascii="Arial" w:hAnsi="Arial"/>
          <w:b w:val="false"/>
          <w:color w:val="333333"/>
          <w:sz w:val="28"/>
          <w:szCs w:val="28"/>
        </w:rPr>
        <w:t>, possibilité de covoiturage (rendez-vous au parking du rond-point du Pont du Cerf à 12h30, en bas de Créavallée).</w:t>
      </w:r>
    </w:p>
    <w:p>
      <w:pPr>
        <w:pStyle w:val="Titre1"/>
        <w:numPr>
          <w:ilvl w:val="0"/>
          <w:numId w:val="1"/>
        </w:numPr>
        <w:tabs>
          <w:tab w:val="left" w:pos="0" w:leader="none"/>
        </w:tabs>
        <w:spacing w:before="0" w:after="0"/>
        <w:ind w:left="0" w:hanging="0"/>
        <w:rPr/>
      </w:pPr>
      <w:r>
        <w:rPr>
          <w:rStyle w:val="Ox7bba3fb943gmailm6234822363638324052gmailhascaption"/>
          <w:rFonts w:cs="Arial" w:ascii="Arial" w:hAnsi="Arial"/>
          <w:b w:val="false"/>
          <w:color w:val="333333"/>
          <w:sz w:val="28"/>
          <w:szCs w:val="28"/>
        </w:rPr>
        <w:t>Il propose en outre de participer au projet national de chaîne humaine du dimanche 27 janvier - si celui-ci peut se concrétiser - ainsi qu’aux débats organisés localement, alors même qu’il ne peut exister la moindre illusion sur les mesures gouvernementales positives qui pourrai</w:t>
      </w:r>
      <w:r>
        <w:rPr>
          <w:rStyle w:val="Ox7bba3fb943gmailm6234822363638324052gmailhascaption"/>
          <w:rFonts w:cs="Arial" w:ascii="Arial" w:hAnsi="Arial"/>
          <w:b w:val="false"/>
          <w:color w:val="333333"/>
          <w:sz w:val="28"/>
          <w:szCs w:val="28"/>
        </w:rPr>
        <w:t>en</w:t>
      </w:r>
      <w:r>
        <w:rPr>
          <w:rStyle w:val="Ox7bba3fb943gmailm6234822363638324052gmailhascaption"/>
          <w:rFonts w:cs="Arial" w:ascii="Arial" w:hAnsi="Arial"/>
          <w:b w:val="false"/>
          <w:color w:val="333333"/>
          <w:sz w:val="28"/>
          <w:szCs w:val="28"/>
        </w:rPr>
        <w:t>t en résulter.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1F497D"/>
          <w:sz w:val="28"/>
          <w:szCs w:val="28"/>
        </w:rPr>
      </w:pPr>
      <w:r>
        <w:rPr>
          <w:rFonts w:cs="Arial" w:ascii="Arial" w:hAnsi="Arial"/>
          <w:b/>
          <w:color w:val="1F497D"/>
          <w:sz w:val="28"/>
          <w:szCs w:val="28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2 / Projection du film « Tout ce qu’il me reste de la Révolution »</w:t>
      </w:r>
    </w:p>
    <w:p>
      <w:pPr>
        <w:pStyle w:val="Normal1"/>
        <w:spacing w:lineRule="auto" w:line="240" w:before="0" w:after="0"/>
        <w:rPr>
          <w:rFonts w:ascii="Arial" w:hAnsi="Arial" w:cs="Arial"/>
          <w:color w:val="231F20"/>
          <w:sz w:val="28"/>
          <w:szCs w:val="28"/>
        </w:rPr>
      </w:pPr>
      <w:r>
        <w:rPr>
          <w:rFonts w:cs="Arial" w:ascii="Arial" w:hAnsi="Arial"/>
          <w:color w:val="231F20"/>
          <w:sz w:val="28"/>
          <w:szCs w:val="28"/>
        </w:rPr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color w:val="231F20"/>
          <w:sz w:val="28"/>
          <w:szCs w:val="28"/>
          <w:u w:val="single"/>
        </w:rPr>
        <w:t>Rappel</w:t>
      </w:r>
      <w:r>
        <w:rPr>
          <w:rStyle w:val="Policepardfaut"/>
          <w:rFonts w:cs="Arial" w:ascii="Arial" w:hAnsi="Arial"/>
          <w:color w:val="231F20"/>
          <w:sz w:val="28"/>
          <w:szCs w:val="28"/>
        </w:rPr>
        <w:t xml:space="preserve"> : le comité local de Périgueux propose à ses adhérents, en partenariat avec Cinécinéma, </w:t>
      </w:r>
      <w:r>
        <w:rPr>
          <w:rStyle w:val="Policepardfaut"/>
          <w:rFonts w:cs="Arial" w:ascii="Arial" w:hAnsi="Arial"/>
          <w:b/>
          <w:color w:val="231F20"/>
          <w:sz w:val="28"/>
          <w:szCs w:val="28"/>
        </w:rPr>
        <w:t>le jeudi 17 janvier 2019 à 20 heures la projection en avant-première du film de Judith Davis « Tout ce qu’il me reste de la Révolution ».</w:t>
      </w:r>
    </w:p>
    <w:p>
      <w:pPr>
        <w:pStyle w:val="Titre2"/>
        <w:numPr>
          <w:ilvl w:val="1"/>
          <w:numId w:val="1"/>
        </w:numPr>
        <w:tabs>
          <w:tab w:val="left" w:pos="0" w:leader="none"/>
        </w:tabs>
        <w:spacing w:lineRule="auto" w:line="240" w:before="0" w:after="0"/>
        <w:ind w:left="0" w:hanging="0"/>
        <w:rPr/>
      </w:pPr>
      <w:r>
        <w:rPr>
          <w:rStyle w:val="Policepardfaut"/>
          <w:rFonts w:cs="Arial" w:ascii="Arial" w:hAnsi="Arial"/>
          <w:color w:val="auto"/>
          <w:sz w:val="28"/>
          <w:szCs w:val="28"/>
        </w:rPr>
        <w:t>Synopsis selon Télérama : « </w:t>
      </w:r>
      <w:r>
        <w:rPr>
          <w:rStyle w:val="Policepardfaut"/>
          <w:rFonts w:cs="Arial" w:ascii="Arial" w:hAnsi="Arial"/>
          <w:b w:val="false"/>
          <w:i/>
          <w:color w:val="auto"/>
          <w:sz w:val="28"/>
          <w:szCs w:val="28"/>
        </w:rPr>
        <w:t>Angèle vient d’une famille de militants, mais seul son père, chez qui elle retourne vivre, est resté fidèle à ses idéaux. Sa mère a déménagé à la campagne et abandonné son combat politique, et sa sœur a choisi le monde de l’entreprise. En colère, déterminée, Angèle s’applique autant à essayer de changer le monde qu’à fuir les rencontres amoureuses </w:t>
      </w:r>
      <w:r>
        <w:rPr>
          <w:rStyle w:val="Policepardfaut"/>
          <w:rFonts w:cs="Arial" w:ascii="Arial" w:hAnsi="Arial"/>
          <w:b w:val="false"/>
          <w:color w:val="auto"/>
          <w:sz w:val="28"/>
          <w:szCs w:val="28"/>
        </w:rPr>
        <w:t>».</w:t>
      </w:r>
      <w:r>
        <w:rPr>
          <w:rStyle w:val="Policepardfaut"/>
          <w:rFonts w:cs="Arial" w:ascii="Arial" w:hAnsi="Arial"/>
          <w:color w:val="auto"/>
          <w:sz w:val="28"/>
          <w:szCs w:val="28"/>
        </w:rPr>
        <w:t xml:space="preserve"> </w:t>
      </w:r>
    </w:p>
    <w:p>
      <w:pPr>
        <w:pStyle w:val="Normal1"/>
        <w:spacing w:lineRule="auto" w:line="240" w:before="0" w:after="0"/>
        <w:rPr/>
      </w:pPr>
      <w:r>
        <w:rPr>
          <w:rStyle w:val="Policepardfaut"/>
          <w:rFonts w:cs="Arial" w:ascii="Arial" w:hAnsi="Arial"/>
          <w:b/>
          <w:sz w:val="28"/>
          <w:szCs w:val="28"/>
          <w:u w:val="single"/>
        </w:rPr>
        <w:t>Thèmes évoqués</w:t>
      </w:r>
      <w:r>
        <w:rPr>
          <w:rStyle w:val="Policepardfaut"/>
          <w:rFonts w:cs="Arial" w:ascii="Arial" w:hAnsi="Arial"/>
          <w:sz w:val="28"/>
          <w:szCs w:val="28"/>
        </w:rPr>
        <w:t> : le sens donné au travail, la difficulté de concilier les engagements militants et la société de consommation…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  <w:t>3 / Projection du film  « J’veux du soleil »</w:t>
      </w:r>
    </w:p>
    <w:p>
      <w:pPr>
        <w:pStyle w:val="Normal1"/>
        <w:spacing w:lineRule="auto" w:line="240" w:before="0" w:after="0"/>
        <w:rPr>
          <w:rFonts w:ascii="Arial" w:hAnsi="Arial" w:cs="Arial"/>
          <w:b/>
          <w:b/>
          <w:color w:val="C00000"/>
          <w:sz w:val="28"/>
          <w:szCs w:val="28"/>
        </w:rPr>
      </w:pPr>
      <w:r>
        <w:rPr>
          <w:rFonts w:cs="Arial" w:ascii="Arial" w:hAnsi="Arial"/>
          <w:b/>
          <w:color w:val="C00000"/>
          <w:sz w:val="28"/>
          <w:szCs w:val="28"/>
        </w:rPr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b/>
          <w:b/>
          <w:color w:val="000000"/>
          <w:sz w:val="28"/>
          <w:szCs w:val="28"/>
        </w:rPr>
      </w:pPr>
      <w:r>
        <w:rPr>
          <w:rFonts w:cs="Arial" w:ascii="Arial" w:hAnsi="Arial"/>
          <w:b/>
          <w:color w:val="000000"/>
          <w:sz w:val="28"/>
          <w:szCs w:val="28"/>
        </w:rPr>
        <w:t>Le 3 avril, devrait sortir dans les salles le film « J’veux du soleil », réalisé par François Ruffin et Gilles Perret : film documentaire sur les Gilets jaunes.</w:t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sz w:val="28"/>
          <w:szCs w:val="28"/>
        </w:rPr>
        <w:t>Le réalisateur de "Merci Patron",  rédacteur en chef du journal "Fakir" et, provisoirement, député a annoncé que les bénéfices tirés du film - s'il y en avait - seraient reversés au Secours populaire.</w:t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sz w:val="28"/>
          <w:szCs w:val="28"/>
        </w:rPr>
        <w:t>Nous essaierons d’obtenir le moment venu la projection de ce film à Périgueux.</w:t>
      </w:r>
    </w:p>
    <w:p>
      <w:pPr>
        <w:pStyle w:val="Normal1"/>
        <w:suppressAutoHyphens w:val="false"/>
        <w:spacing w:lineRule="auto" w:line="240" w:before="0" w:after="0"/>
        <w:textAlignment w:val="auto"/>
        <w:rPr>
          <w:rFonts w:ascii="Arial" w:hAnsi="Arial" w:cs="Arial"/>
          <w:color w:val="231F20"/>
          <w:sz w:val="28"/>
          <w:szCs w:val="28"/>
        </w:rPr>
      </w:pPr>
      <w:r>
        <w:rPr>
          <w:rFonts w:cs="Arial" w:ascii="Arial" w:hAnsi="Arial"/>
          <w:color w:val="231F20"/>
          <w:sz w:val="28"/>
          <w:szCs w:val="28"/>
        </w:rPr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jc w:val="center"/>
        <w:textAlignment w:val="auto"/>
        <w:rPr/>
      </w:pPr>
      <w:r>
        <w:rPr>
          <w:rStyle w:val="Policepardfaut"/>
          <w:rFonts w:cs="Arial" w:ascii="Arial" w:hAnsi="Arial"/>
          <w:b/>
          <w:color w:val="FF0000"/>
          <w:sz w:val="28"/>
          <w:szCs w:val="28"/>
        </w:rPr>
        <w:t>Prochain CA : jeudi 14 février 2019 à 18 heures à la Bourse du travail à Périgueux  (ouvert à tous)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color w:val="231F20"/>
        </w:rPr>
        <w:t>Animation </w:t>
      </w:r>
      <w:r>
        <w:rPr>
          <w:rStyle w:val="Policepardfaut"/>
          <w:rFonts w:cs="Arial" w:ascii="Arial" w:hAnsi="Arial"/>
          <w:color w:val="231F20"/>
        </w:rPr>
        <w:t>: Christian</w:t>
      </w:r>
    </w:p>
    <w:p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FFFFCC" w:val="clear"/>
        <w:suppressAutoHyphens w:val="false"/>
        <w:spacing w:lineRule="auto" w:line="240" w:before="0" w:after="0"/>
        <w:textAlignment w:val="auto"/>
        <w:rPr/>
      </w:pPr>
      <w:r>
        <w:rPr>
          <w:rStyle w:val="Policepardfaut"/>
          <w:rFonts w:cs="Arial" w:ascii="Arial" w:hAnsi="Arial"/>
          <w:b/>
          <w:color w:val="231F20"/>
        </w:rPr>
        <w:t>Secrétariat</w:t>
      </w:r>
      <w:r>
        <w:rPr>
          <w:rStyle w:val="Policepardfaut"/>
          <w:rFonts w:cs="Arial" w:ascii="Arial" w:hAnsi="Arial"/>
          <w:color w:val="231F20"/>
        </w:rPr>
        <w:t> : Jean</w:t>
      </w:r>
    </w:p>
    <w:p>
      <w:pPr>
        <w:pStyle w:val="Normal1"/>
        <w:suppressAutoHyphens w:val="false"/>
        <w:spacing w:lineRule="auto" w:line="240" w:before="0" w:after="0"/>
        <w:textAlignment w:val="auto"/>
        <w:rPr/>
      </w:pPr>
      <w:r>
        <w:rPr/>
      </w:r>
    </w:p>
    <w:sectPr>
      <w:type w:val="nextPage"/>
      <w:pgSz w:w="11906" w:h="16838"/>
      <w:pgMar w:left="1417" w:right="1133" w:header="0" w:top="851" w:footer="0" w:bottom="851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re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re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9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fr-FR" w:eastAsia="fr-FR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fr-FR" w:eastAsia="fr-FR" w:bidi="ar-SA"/>
    </w:rPr>
  </w:style>
  <w:style w:type="paragraph" w:styleId="Titre1">
    <w:name w:val="Heading 1"/>
    <w:basedOn w:val="Normal1"/>
    <w:qFormat/>
    <w:pPr>
      <w:numPr>
        <w:ilvl w:val="0"/>
        <w:numId w:val="1"/>
      </w:numPr>
      <w:suppressAutoHyphens w:val="true"/>
      <w:spacing w:lineRule="auto" w:line="240" w:before="100" w:after="100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paragraph" w:styleId="Titre2">
    <w:name w:val="Heading 2"/>
    <w:basedOn w:val="Normal1"/>
    <w:next w:val="Normal1"/>
    <w:qFormat/>
    <w:pPr>
      <w:keepNext w:val="true"/>
      <w:keepLines/>
      <w:numPr>
        <w:ilvl w:val="1"/>
        <w:numId w:val="1"/>
      </w:numPr>
      <w:suppressAutoHyphens w:val="true"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1"/>
    <w:next w:val="Normal1"/>
    <w:qFormat/>
    <w:pPr>
      <w:keepNext w:val="true"/>
      <w:keepLines/>
      <w:numPr>
        <w:ilvl w:val="2"/>
        <w:numId w:val="1"/>
      </w:numPr>
      <w:suppressAutoHyphens w:val="true"/>
      <w:spacing w:before="200" w:after="0"/>
      <w:outlineLvl w:val="2"/>
    </w:pPr>
    <w:rPr>
      <w:rFonts w:ascii="Cambria" w:hAnsi="Cambria"/>
      <w:b/>
      <w:bCs/>
      <w:color w:val="4F81BD"/>
    </w:rPr>
  </w:style>
  <w:style w:type="character" w:styleId="Policepardfaut">
    <w:name w:val="Police par défaut"/>
    <w:qFormat/>
    <w:rPr/>
  </w:style>
  <w:style w:type="character" w:styleId="Lienhypertexte">
    <w:name w:val="Lien hypertexte"/>
    <w:qFormat/>
    <w:rPr>
      <w:color w:val="0000FF"/>
      <w:u w:val="single"/>
    </w:rPr>
  </w:style>
  <w:style w:type="character" w:styleId="TextedebullesCar">
    <w:name w:val="Texte de bulles Car"/>
    <w:qFormat/>
    <w:rPr>
      <w:rFonts w:ascii="Tahoma" w:hAnsi="Tahoma" w:cs="Tahoma"/>
      <w:sz w:val="16"/>
      <w:szCs w:val="16"/>
    </w:rPr>
  </w:style>
  <w:style w:type="character" w:styleId="Titre1Car">
    <w:name w:val="Titre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fr-FR"/>
    </w:rPr>
  </w:style>
  <w:style w:type="character" w:styleId="Lev">
    <w:name w:val="Élevé"/>
    <w:qFormat/>
    <w:rPr>
      <w:b/>
      <w:bCs/>
    </w:rPr>
  </w:style>
  <w:style w:type="character" w:styleId="Titre3Car">
    <w:name w:val="Titre 3 Car"/>
    <w:qFormat/>
    <w:rPr>
      <w:rFonts w:ascii="Cambria" w:hAnsi="Cambria" w:eastAsia="Times New Roman" w:cs="Times New Roman"/>
      <w:b/>
      <w:bCs/>
      <w:color w:val="4F81BD"/>
    </w:rPr>
  </w:style>
  <w:style w:type="character" w:styleId="Accentuation">
    <w:name w:val="Accentuation"/>
    <w:qFormat/>
    <w:rPr>
      <w:i/>
      <w:iCs/>
    </w:rPr>
  </w:style>
  <w:style w:type="character" w:styleId="Ttr26">
    <w:name w:val="tt_r26"/>
    <w:basedOn w:val="Policepardfaut"/>
    <w:qFormat/>
    <w:rPr/>
  </w:style>
  <w:style w:type="character" w:styleId="Lienhypertextesuivivisit">
    <w:name w:val="Lien hypertexte suivi visité"/>
    <w:qFormat/>
    <w:rPr>
      <w:color w:val="800080"/>
      <w:u w:val="single"/>
    </w:rPr>
  </w:style>
  <w:style w:type="character" w:styleId="Titre2Car">
    <w:name w:val="Titre 2 C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Crayon">
    <w:name w:val="crayon"/>
    <w:basedOn w:val="Policepardfaut"/>
    <w:qFormat/>
    <w:rPr/>
  </w:style>
  <w:style w:type="character" w:styleId="Authors">
    <w:name w:val="authors"/>
    <w:basedOn w:val="Policepardfaut"/>
    <w:qFormat/>
    <w:rPr/>
  </w:style>
  <w:style w:type="character" w:styleId="Sep">
    <w:name w:val="sep"/>
    <w:basedOn w:val="Policepardfaut"/>
    <w:qFormat/>
    <w:rPr/>
  </w:style>
  <w:style w:type="character" w:styleId="Vcard">
    <w:name w:val="vcard"/>
    <w:basedOn w:val="Policepardfaut"/>
    <w:qFormat/>
    <w:rPr/>
  </w:style>
  <w:style w:type="character" w:styleId="Tags2">
    <w:name w:val="tags2"/>
    <w:basedOn w:val="Policepardfaut"/>
    <w:qFormat/>
    <w:rPr/>
  </w:style>
  <w:style w:type="character" w:styleId="Intitule2">
    <w:name w:val="intitule2"/>
    <w:basedOn w:val="Policepardfaut"/>
    <w:qFormat/>
    <w:rPr/>
  </w:style>
  <w:style w:type="character" w:styleId="Listetags">
    <w:name w:val="liste_tags"/>
    <w:basedOn w:val="Policepardfaut"/>
    <w:qFormat/>
    <w:rPr/>
  </w:style>
  <w:style w:type="character" w:styleId="Citecrochet1">
    <w:name w:val="cite_crochet1"/>
    <w:basedOn w:val="Policepardfaut"/>
    <w:qFormat/>
    <w:rPr>
      <w:vanish/>
    </w:rPr>
  </w:style>
  <w:style w:type="character" w:styleId="Textexposedshow">
    <w:name w:val="textexposedshow"/>
    <w:basedOn w:val="Policepardfaut"/>
    <w:qFormat/>
    <w:rPr/>
  </w:style>
  <w:style w:type="character" w:styleId="Redi1">
    <w:name w:val="redi1"/>
    <w:basedOn w:val="Policepardfaut"/>
    <w:qFormat/>
    <w:rPr>
      <w:color w:val="9D273D"/>
    </w:rPr>
  </w:style>
  <w:style w:type="character" w:styleId="Citation">
    <w:name w:val="citation"/>
    <w:basedOn w:val="Policepardfaut"/>
    <w:qFormat/>
    <w:rPr/>
  </w:style>
  <w:style w:type="character" w:styleId="Mwheadline">
    <w:name w:val="mw-headline"/>
    <w:basedOn w:val="Policepardfaut"/>
    <w:qFormat/>
    <w:rPr/>
  </w:style>
  <w:style w:type="character" w:styleId="Mweditsection">
    <w:name w:val="mw-editsection"/>
    <w:basedOn w:val="Policepardfaut"/>
    <w:qFormat/>
    <w:rPr/>
  </w:style>
  <w:style w:type="character" w:styleId="Mweditsectionbracket">
    <w:name w:val="mw-editsection-bracket"/>
    <w:basedOn w:val="Policepardfaut"/>
    <w:qFormat/>
    <w:rPr/>
  </w:style>
  <w:style w:type="character" w:styleId="Mweditsectiondivider">
    <w:name w:val="mw-editsection-divider"/>
    <w:basedOn w:val="Policepardfaut"/>
    <w:qFormat/>
    <w:rPr/>
  </w:style>
  <w:style w:type="character" w:styleId="Ox7bba3fb943gmailm6234822363638324052gmailhascaption">
    <w:name w:val="ox-7bba3fb943-gmail-m_6234822363638324052gmail-hascaption"/>
    <w:basedOn w:val="Policepardfaut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Normal1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fr-FR" w:eastAsia="fr-FR" w:bidi="ar-SA"/>
    </w:rPr>
  </w:style>
  <w:style w:type="paragraph" w:styleId="Paragraphedeliste">
    <w:name w:val="Paragraphe de liste"/>
    <w:basedOn w:val="Normal1"/>
    <w:qFormat/>
    <w:pPr>
      <w:suppressAutoHyphens w:val="true"/>
      <w:ind w:left="720" w:right="0" w:hanging="0"/>
    </w:pPr>
    <w:rPr/>
  </w:style>
  <w:style w:type="paragraph" w:styleId="NormalWeb">
    <w:name w:val="Normal (Web)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Textedebulles">
    <w:name w:val="Texte de bulles"/>
    <w:basedOn w:val="Normal1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ettrine">
    <w:name w:val="lettrine"/>
    <w:basedOn w:val="Normal1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erigueux@attac.org" TargetMode="External"/><Relationship Id="rId4" Type="http://schemas.openxmlformats.org/officeDocument/2006/relationships/hyperlink" Target="http://local.attac.org/attac24/" TargetMode="External"/><Relationship Id="rId5" Type="http://schemas.openxmlformats.org/officeDocument/2006/relationships/hyperlink" Target="https://www.facebook.com/attac.perigueux.nontron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LibreOffice/6.0.7.3$Linux_X86_64 LibreOffice_project/00m0$Build-3</Application>
  <Pages>2</Pages>
  <Words>493</Words>
  <Characters>2589</Characters>
  <CharactersWithSpaces>3062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2019-01-16T21:58:00Z</dcterms:created>
  <dc:creator>Maryse</dc:creator>
  <dc:description/>
  <dc:language>fr-FR</dc:language>
  <cp:lastModifiedBy/>
  <cp:lastPrinted>2018-09-14T13:31:00Z</cp:lastPrinted>
  <dcterms:modified xsi:type="dcterms:W3CDTF">2019-01-17T09:44:43Z</dcterms:modified>
  <cp:revision>11</cp:revision>
  <dc:subject/>
  <dc:title/>
</cp:coreProperties>
</file>