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png" ContentType="image/png"/>
  <Override PartName="/word/media/image4.png" ContentType="image/png"/>
  <Override PartName="/word/media/image5.jpeg" ContentType="image/jpeg"/>
  <Override PartName="/word/media/image6.jpeg" ContentType="image/jpeg"/>
  <Override PartName="/word/media/image7.jpeg" ContentType="image/jpe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Default"/>
        <w:rPr/>
      </w:pPr>
      <w:r>
        <w:rPr/>
      </w:r>
    </w:p>
    <w:p>
      <w:pPr>
        <w:pStyle w:val="Default"/>
        <w:rPr/>
      </w:pPr>
      <w:r>
        <w:rPr/>
        <w:t xml:space="preserve"> </w:t>
      </w:r>
    </w:p>
    <w:p>
      <w:pPr>
        <w:pStyle w:val="Default"/>
        <w:jc w:val="left"/>
        <w:rPr>
          <w:b/>
          <w:b/>
          <w:bCs/>
          <w:sz w:val="28"/>
          <w:szCs w:val="28"/>
          <w:u w:val="single"/>
        </w:rPr>
      </w:pPr>
      <w:r>
        <w:rPr>
          <w:b/>
          <w:bCs/>
          <w:sz w:val="28"/>
          <w:szCs w:val="28"/>
          <w:u w:val="single"/>
        </w:rPr>
      </w:r>
    </w:p>
    <w:p>
      <w:pPr>
        <w:pStyle w:val="Default"/>
        <w:jc w:val="left"/>
        <w:rPr>
          <w:b/>
          <w:b/>
          <w:bCs/>
          <w:sz w:val="30"/>
          <w:szCs w:val="30"/>
          <w:u w:val="single"/>
        </w:rPr>
      </w:pPr>
      <w:r>
        <w:rPr>
          <w:b/>
          <w:bCs/>
          <w:sz w:val="28"/>
          <w:szCs w:val="28"/>
          <w:u w:val="single"/>
        </w:rPr>
        <w:t xml:space="preserve">LES ORIENTATIONS STRATÉGIQUES </w:t>
      </w:r>
      <w:r>
        <w:rPr>
          <w:b/>
          <w:bCs/>
          <w:strike w:val="false"/>
          <w:dstrike w:val="false"/>
          <w:sz w:val="28"/>
          <w:szCs w:val="28"/>
          <w:u w:val="single"/>
        </w:rPr>
        <w:t>DU SMD3 POUR PRÉPARER 2025</w:t>
      </w:r>
      <w:r>
        <w:rPr>
          <w:b w:val="false"/>
          <w:bCs w:val="false"/>
          <w:strike w:val="false"/>
          <w:dstrike w:val="false"/>
          <w:sz w:val="30"/>
          <w:szCs w:val="30"/>
          <w:u w:val="none"/>
        </w:rPr>
        <w:t xml:space="preserve">   </w:t>
      </w:r>
      <w:r>
        <w:rPr>
          <w:b w:val="false"/>
          <w:bCs w:val="false"/>
          <w:strike w:val="false"/>
          <w:dstrike w:val="false"/>
          <w:sz w:val="22"/>
          <w:szCs w:val="22"/>
          <w:u w:val="none"/>
        </w:rPr>
        <w:t>oct. 2017</w:t>
      </w:r>
    </w:p>
    <w:p>
      <w:pPr>
        <w:pStyle w:val="Normal"/>
        <w:jc w:val="center"/>
        <w:rPr>
          <w:strike w:val="false"/>
          <w:dstrike w:val="false"/>
          <w:color w:val="C9211E"/>
          <w:sz w:val="18"/>
          <w:szCs w:val="18"/>
          <w:u w:val="none"/>
        </w:rPr>
      </w:pPr>
      <w:r>
        <w:rPr>
          <w:strike w:val="false"/>
          <w:dstrike w:val="false"/>
          <w:color w:val="C9211E"/>
          <w:sz w:val="18"/>
          <w:szCs w:val="18"/>
          <w:u w:val="none"/>
        </w:rPr>
      </w:r>
    </w:p>
    <w:p>
      <w:pPr>
        <w:pStyle w:val="Normal"/>
        <w:rPr>
          <w:sz w:val="18"/>
          <w:szCs w:val="18"/>
        </w:rPr>
      </w:pPr>
      <w:r>
        <w:rPr>
          <w:strike w:val="false"/>
          <w:dstrike w:val="false"/>
          <w:sz w:val="18"/>
          <w:szCs w:val="18"/>
          <w:u w:val="none"/>
        </w:rPr>
        <w:t>Cette r</w:t>
      </w:r>
      <w:r>
        <w:rPr>
          <w:sz w:val="18"/>
          <w:szCs w:val="18"/>
        </w:rPr>
        <w:t xml:space="preserve">éflexion associe très largement les élus, les agents, les partenaires locaux et institutionnels dans une concertation productive </w:t>
      </w:r>
      <w:r>
        <w:rPr>
          <w:color w:val="C9211E"/>
          <w:sz w:val="18"/>
          <w:szCs w:val="18"/>
        </w:rPr>
        <w:t>(???)</w:t>
      </w:r>
      <w:r>
        <w:rPr>
          <w:sz w:val="18"/>
          <w:szCs w:val="18"/>
        </w:rPr>
        <w:t xml:space="preserve">. </w:t>
      </w:r>
    </w:p>
    <w:p>
      <w:pPr>
        <w:pStyle w:val="Normal"/>
        <w:jc w:val="left"/>
        <w:rPr>
          <w:rFonts w:ascii="GillSans-SemiBold" w:hAnsi="GillSans-SemiBold"/>
          <w:b/>
          <w:b/>
          <w:strike w:val="false"/>
          <w:dstrike w:val="false"/>
          <w:sz w:val="18"/>
          <w:szCs w:val="18"/>
          <w:u w:val="none"/>
        </w:rPr>
      </w:pPr>
      <w:r>
        <w:rPr>
          <w:rFonts w:ascii="GillSans-SemiBold" w:hAnsi="GillSans-SemiBold"/>
          <w:b/>
          <w:strike w:val="false"/>
          <w:dstrike w:val="false"/>
          <w:sz w:val="18"/>
          <w:szCs w:val="18"/>
          <w:u w:val="none"/>
        </w:rPr>
      </w:r>
    </w:p>
    <w:p>
      <w:pPr>
        <w:pStyle w:val="Normal"/>
        <w:jc w:val="left"/>
        <w:rPr>
          <w:strike w:val="false"/>
          <w:dstrike w:val="false"/>
          <w:color w:val="000000"/>
          <w:sz w:val="18"/>
          <w:szCs w:val="18"/>
          <w:u w:val="none"/>
        </w:rPr>
      </w:pPr>
      <w:r>
        <w:rPr>
          <w:rFonts w:ascii="GillSans-SemiBold" w:hAnsi="GillSans-SemiBold"/>
          <w:b/>
          <w:strike w:val="false"/>
          <w:dstrike w:val="false"/>
          <w:color w:val="000000"/>
          <w:sz w:val="18"/>
          <w:szCs w:val="18"/>
          <w:u w:val="none"/>
        </w:rPr>
        <w:t>Le SMD3, Syndicat Mixte Départemental des Déchets de la Dordogne</w:t>
      </w:r>
      <w:r>
        <w:rPr>
          <w:rFonts w:ascii="GillSans" w:hAnsi="GillSans"/>
          <w:strike w:val="false"/>
          <w:dstrike w:val="false"/>
          <w:color w:val="000000"/>
          <w:sz w:val="18"/>
          <w:szCs w:val="18"/>
          <w:u w:val="none"/>
        </w:rPr>
        <w:t>, est une collectivité territoriale créée par arrêté préfectoral du 22 décembre 1995 afin de mettre en œuvre le plan départemental de gestion des déchets ménagers et assimilés de la Dordogne.</w:t>
      </w:r>
    </w:p>
    <w:p>
      <w:pPr>
        <w:pStyle w:val="Normal"/>
        <w:rPr>
          <w:b/>
          <w:b/>
          <w:bCs/>
          <w:strike w:val="false"/>
          <w:dstrike w:val="false"/>
          <w:color w:val="0000FF"/>
          <w:sz w:val="18"/>
          <w:szCs w:val="24"/>
          <w:u w:val="none"/>
        </w:rPr>
      </w:pPr>
      <w:r>
        <w:rPr>
          <w:b/>
          <w:bCs/>
          <w:strike w:val="false"/>
          <w:dstrike w:val="false"/>
          <w:color w:val="0000FF"/>
          <w:sz w:val="18"/>
          <w:szCs w:val="24"/>
          <w:u w:val="none"/>
        </w:rPr>
      </w:r>
    </w:p>
    <w:p>
      <w:pPr>
        <w:pStyle w:val="Normal"/>
        <w:rPr/>
      </w:pPr>
      <w:r>
        <w:rPr>
          <w:b/>
          <w:bCs/>
          <w:strike w:val="false"/>
          <w:dstrike w:val="false"/>
          <w:sz w:val="18"/>
          <w:szCs w:val="24"/>
          <w:u w:val="none"/>
        </w:rPr>
        <w:t>L</w:t>
      </w:r>
      <w:r>
        <w:rPr>
          <w:b/>
          <w:bCs/>
          <w:strike w:val="false"/>
          <w:dstrike w:val="false"/>
          <w:sz w:val="18"/>
          <w:szCs w:val="24"/>
          <w:u w:val="none"/>
        </w:rPr>
        <w:t xml:space="preserve">a loi sur la transition </w:t>
      </w:r>
      <w:r>
        <w:rPr>
          <w:b/>
          <w:bCs/>
          <w:sz w:val="18"/>
          <w:szCs w:val="24"/>
        </w:rPr>
        <w:t xml:space="preserve">énergétique </w:t>
      </w:r>
      <w:r>
        <w:rPr>
          <w:b/>
          <w:bCs/>
          <w:sz w:val="18"/>
          <w:szCs w:val="24"/>
          <w:lang w:val="fr-FR"/>
        </w:rPr>
        <w:t xml:space="preserve">pour la croissance verte </w:t>
      </w:r>
      <w:r>
        <w:rPr>
          <w:b w:val="false"/>
          <w:bCs w:val="false"/>
          <w:sz w:val="18"/>
          <w:szCs w:val="24"/>
        </w:rPr>
        <w:t>votée en</w:t>
      </w:r>
      <w:r>
        <w:rPr>
          <w:b/>
          <w:bCs/>
          <w:sz w:val="18"/>
          <w:szCs w:val="24"/>
        </w:rPr>
        <w:t xml:space="preserve"> 2015 </w:t>
      </w:r>
      <w:r>
        <w:rPr>
          <w:sz w:val="18"/>
          <w:szCs w:val="24"/>
        </w:rPr>
        <w:t xml:space="preserve">fixe de nouveaux objectifs aux collectivités à deux échéances : 2020 et 2025. </w:t>
      </w:r>
    </w:p>
    <w:p>
      <w:pPr>
        <w:pStyle w:val="Normal"/>
        <w:rPr>
          <w:sz w:val="18"/>
          <w:szCs w:val="24"/>
        </w:rPr>
      </w:pPr>
      <w:r>
        <w:rPr>
          <w:sz w:val="18"/>
          <w:szCs w:val="24"/>
        </w:rPr>
      </w:r>
    </w:p>
    <w:p>
      <w:pPr>
        <w:pStyle w:val="Default"/>
        <w:numPr>
          <w:ilvl w:val="0"/>
          <w:numId w:val="1"/>
        </w:numPr>
        <w:spacing w:before="0" w:after="115"/>
        <w:ind w:left="0" w:right="0" w:hanging="0"/>
        <w:rPr>
          <w:sz w:val="20"/>
          <w:szCs w:val="20"/>
        </w:rPr>
      </w:pPr>
      <w:r>
        <w:rPr>
          <w:sz w:val="20"/>
          <w:szCs w:val="20"/>
        </w:rPr>
        <w:t>Toujours plus de prévention pour réduire les tonnages de déchets ménagers et assimilés de 10% d’ici 2020 par rapport à 2010</w:t>
      </w:r>
    </w:p>
    <w:p>
      <w:pPr>
        <w:pStyle w:val="Default"/>
        <w:numPr>
          <w:ilvl w:val="0"/>
          <w:numId w:val="1"/>
        </w:numPr>
        <w:spacing w:before="0" w:after="115"/>
        <w:ind w:left="0" w:right="0" w:hanging="0"/>
        <w:rPr>
          <w:sz w:val="20"/>
          <w:szCs w:val="20"/>
        </w:rPr>
      </w:pPr>
      <w:r>
        <w:rPr>
          <w:sz w:val="20"/>
          <w:szCs w:val="20"/>
        </w:rPr>
        <w:t xml:space="preserve">De nouveaux efforts en matière de valorisation pour passer de l’objectif Grenelle de 45% à un objectif de 55% en 2020 puis de 65% en 2025 (en intégrant les déchets non ménagers), </w:t>
      </w:r>
    </w:p>
    <w:p>
      <w:pPr>
        <w:pStyle w:val="Default"/>
        <w:numPr>
          <w:ilvl w:val="0"/>
          <w:numId w:val="1"/>
        </w:numPr>
        <w:spacing w:before="0" w:after="115"/>
        <w:ind w:left="0" w:right="0" w:hanging="0"/>
        <w:rPr>
          <w:sz w:val="20"/>
          <w:szCs w:val="20"/>
        </w:rPr>
      </w:pPr>
      <w:r>
        <w:rPr>
          <w:sz w:val="20"/>
          <w:szCs w:val="20"/>
        </w:rPr>
        <w:t>Un axe de progrès important pour offrir à tous les habitants des solutions de valorisation de leurs déchets organiques,</w:t>
      </w:r>
    </w:p>
    <w:p>
      <w:pPr>
        <w:pStyle w:val="Default"/>
        <w:numPr>
          <w:ilvl w:val="0"/>
          <w:numId w:val="1"/>
        </w:numPr>
        <w:spacing w:before="0" w:after="115"/>
        <w:ind w:left="0" w:right="0" w:hanging="0"/>
        <w:rPr>
          <w:sz w:val="20"/>
          <w:szCs w:val="20"/>
        </w:rPr>
      </w:pPr>
      <w:r>
        <w:rPr>
          <w:sz w:val="20"/>
          <w:szCs w:val="20"/>
        </w:rPr>
        <w:t>Réduire les quantités de déchets enfouies en divisant par 2, avant 2025, les quantités enfouies en 2010 (avec un point intermédiaire de 30% de réduction en 2020).</w:t>
      </w:r>
    </w:p>
    <w:p>
      <w:pPr>
        <w:pStyle w:val="Default"/>
        <w:numPr>
          <w:ilvl w:val="0"/>
          <w:numId w:val="0"/>
        </w:numPr>
        <w:spacing w:before="0" w:after="115"/>
        <w:ind w:left="0" w:right="0" w:hanging="0"/>
        <w:rPr>
          <w:sz w:val="20"/>
          <w:szCs w:val="20"/>
        </w:rPr>
      </w:pPr>
      <w:r>
        <w:rPr>
          <w:b/>
          <w:bCs/>
          <w:color w:val="000000"/>
          <w:sz w:val="28"/>
          <w:szCs w:val="28"/>
        </w:rPr>
        <w:t xml:space="preserve">avec une TGAP </w:t>
      </w:r>
      <w:r>
        <w:rPr>
          <w:b/>
          <w:bCs/>
          <w:color w:val="000000"/>
          <w:sz w:val="28"/>
          <w:szCs w:val="28"/>
        </w:rPr>
        <w:t xml:space="preserve">de l'enfouissement </w:t>
      </w:r>
      <w:r>
        <w:rPr>
          <w:b/>
          <w:bCs/>
          <w:color w:val="000000"/>
          <w:sz w:val="28"/>
          <w:szCs w:val="28"/>
        </w:rPr>
        <w:t xml:space="preserve">passant de </w:t>
      </w:r>
      <w:r>
        <w:rPr>
          <w:rFonts w:ascii="Liberation Serif" w:hAnsi="Liberation Serif"/>
          <w:b/>
          <w:bCs/>
          <w:color w:val="000000"/>
          <w:sz w:val="28"/>
          <w:szCs w:val="28"/>
        </w:rPr>
        <w:t xml:space="preserve">17 €/la tonne en 2019 à 65€ en 2025 </w:t>
      </w:r>
      <w:r>
        <w:rPr>
          <w:rFonts w:ascii="Liberation Serif" w:hAnsi="Liberation Serif"/>
          <w:b w:val="false"/>
          <w:bCs w:val="false"/>
          <w:color w:val="000000"/>
          <w:sz w:val="18"/>
          <w:szCs w:val="18"/>
        </w:rPr>
        <w:t>(</w:t>
      </w:r>
      <w:r>
        <w:rPr>
          <w:b w:val="false"/>
          <w:bCs w:val="false"/>
          <w:color w:val="000000"/>
          <w:sz w:val="18"/>
          <w:szCs w:val="18"/>
        </w:rPr>
        <w:t>l’e</w:t>
      </w:r>
      <w:r>
        <w:rPr>
          <w:color w:val="000000"/>
          <w:sz w:val="18"/>
          <w:szCs w:val="18"/>
        </w:rPr>
        <w:t>nfouissement n’est considéré par les textes que comme le mode le plus dégradé de traitement des déchets, ne devant intervenir que lorsque toutes les valorisations possibles ont été mises en œuvre.</w:t>
      </w:r>
      <w:r>
        <w:rPr>
          <w:color w:val="000000"/>
          <w:sz w:val="18"/>
          <w:szCs w:val="18"/>
        </w:rPr>
        <w:t>)</w:t>
      </w:r>
      <w:r>
        <w:rPr>
          <w:color w:val="000000"/>
          <w:sz w:val="18"/>
          <w:szCs w:val="18"/>
        </w:rPr>
        <w:t xml:space="preserve"> </w:t>
      </w:r>
      <w:r>
        <w:rPr>
          <w:rFonts w:ascii="CIDFont+F7" w:hAnsi="CIDFont+F7"/>
          <w:color w:val="C9211E"/>
          <w:sz w:val="21"/>
          <w:szCs w:val="21"/>
          <w:shd w:fill="FFFFFF" w:val="clear"/>
        </w:rPr>
        <w:t>14</w:t>
      </w:r>
      <w:r>
        <w:rPr>
          <w:rFonts w:ascii="CIDFont+F7" w:hAnsi="CIDFont+F7"/>
          <w:color w:val="C9211E"/>
          <w:sz w:val="21"/>
          <w:szCs w:val="21"/>
          <w:shd w:fill="FFFFFF" w:val="clear"/>
        </w:rPr>
        <w:t>€</w:t>
      </w:r>
      <w:r>
        <w:rPr>
          <w:rFonts w:ascii="CIDFont+F7" w:hAnsi="CIDFont+F7"/>
          <w:color w:val="C9211E"/>
          <w:sz w:val="21"/>
          <w:szCs w:val="21"/>
          <w:shd w:fill="FFFFFF" w:val="clear"/>
        </w:rPr>
        <w:t xml:space="preserve"> </w:t>
      </w:r>
      <w:r>
        <w:rPr>
          <w:rFonts w:ascii="CIDFont+F7" w:hAnsi="CIDFont+F7"/>
          <w:color w:val="C9211E"/>
          <w:sz w:val="21"/>
          <w:szCs w:val="21"/>
        </w:rPr>
        <w:t>l</w:t>
      </w:r>
      <w:r>
        <w:rPr>
          <w:rFonts w:ascii="CIDFont+F7" w:hAnsi="CIDFont+F7"/>
          <w:color w:val="C9211E"/>
          <w:sz w:val="21"/>
          <w:szCs w:val="21"/>
        </w:rPr>
        <w:t>a</w:t>
      </w:r>
      <w:r>
        <w:rPr>
          <w:rFonts w:ascii="CIDFont+F7" w:hAnsi="CIDFont+F7"/>
          <w:color w:val="C9211E"/>
          <w:sz w:val="21"/>
          <w:szCs w:val="21"/>
        </w:rPr>
        <w:t xml:space="preserve"> tonne en 2015, </w:t>
      </w:r>
      <w:r>
        <w:rPr>
          <w:rFonts w:ascii="CIDFont+F7" w:hAnsi="CIDFont+F7"/>
          <w:color w:val="C9211E"/>
          <w:sz w:val="21"/>
          <w:szCs w:val="21"/>
        </w:rPr>
        <w:t>3</w:t>
      </w:r>
      <w:r>
        <w:rPr>
          <w:rFonts w:ascii="CIDFont+F7" w:hAnsi="CIDFont+F7"/>
          <w:color w:val="C9211E"/>
          <w:sz w:val="21"/>
          <w:szCs w:val="21"/>
        </w:rPr>
        <w:t>5</w:t>
      </w:r>
      <w:r>
        <w:rPr>
          <w:rFonts w:ascii="CIDFont+F7" w:hAnsi="CIDFont+F7"/>
          <w:color w:val="C9211E"/>
          <w:sz w:val="21"/>
          <w:szCs w:val="21"/>
        </w:rPr>
        <w:t>€</w:t>
      </w:r>
      <w:r>
        <w:rPr>
          <w:rFonts w:ascii="CIDFont+F7" w:hAnsi="CIDFont+F7"/>
          <w:color w:val="C9211E"/>
          <w:sz w:val="21"/>
          <w:szCs w:val="21"/>
        </w:rPr>
        <w:t xml:space="preserve"> en 2020 </w:t>
      </w:r>
      <w:r>
        <w:rPr>
          <w:rFonts w:ascii="CIDFont+F7" w:hAnsi="CIDFont+F7"/>
          <w:color w:val="C9211E"/>
          <w:sz w:val="21"/>
          <w:szCs w:val="21"/>
        </w:rPr>
        <w:t>(</w:t>
      </w:r>
      <w:r>
        <w:rPr>
          <w:rFonts w:ascii="CIDFont+F7" w:hAnsi="CIDFont+F7"/>
          <w:color w:val="C9211E"/>
          <w:sz w:val="21"/>
          <w:szCs w:val="21"/>
          <w:shd w:fill="FFFFFF" w:val="clear"/>
        </w:rPr>
        <w:t>contre 25</w:t>
      </w:r>
      <w:r>
        <w:rPr>
          <w:rFonts w:ascii="CIDFont+F7" w:hAnsi="CIDFont+F7"/>
          <w:color w:val="C9211E"/>
          <w:sz w:val="21"/>
          <w:szCs w:val="21"/>
          <w:shd w:fill="FFFFFF" w:val="clear"/>
        </w:rPr>
        <w:t>€</w:t>
      </w:r>
      <w:r>
        <w:rPr>
          <w:rFonts w:ascii="CIDFont+F7" w:hAnsi="CIDFont+F7"/>
          <w:color w:val="C9211E"/>
          <w:sz w:val="21"/>
          <w:szCs w:val="21"/>
          <w:shd w:fill="FFFFFF" w:val="clear"/>
        </w:rPr>
        <w:t xml:space="preserve"> pour les déchets incinérés</w:t>
      </w:r>
      <w:r>
        <w:rPr>
          <w:rFonts w:ascii="CIDFont+F7" w:hAnsi="CIDFont+F7"/>
          <w:color w:val="C9211E"/>
          <w:sz w:val="21"/>
          <w:szCs w:val="21"/>
          <w:shd w:fill="FFFFFF" w:val="clear"/>
        </w:rPr>
        <w:t>)</w:t>
      </w:r>
      <w:r>
        <w:rPr>
          <w:rFonts w:ascii="CIDFont+F7" w:hAnsi="CIDFont+F7"/>
          <w:color w:val="C9211E"/>
          <w:sz w:val="21"/>
          <w:szCs w:val="21"/>
        </w:rPr>
        <w:t xml:space="preserve">, </w:t>
      </w:r>
      <w:r>
        <w:rPr>
          <w:rFonts w:ascii="CIDFont+F7" w:hAnsi="CIDFont+F7"/>
          <w:color w:val="C9211E"/>
          <w:sz w:val="21"/>
          <w:szCs w:val="21"/>
        </w:rPr>
        <w:t>4</w:t>
      </w:r>
      <w:r>
        <w:rPr>
          <w:rFonts w:ascii="CIDFont+F7" w:hAnsi="CIDFont+F7"/>
          <w:color w:val="C9211E"/>
          <w:sz w:val="21"/>
          <w:szCs w:val="21"/>
        </w:rPr>
        <w:t>7</w:t>
      </w:r>
      <w:r>
        <w:rPr>
          <w:rFonts w:ascii="CIDFont+F7" w:hAnsi="CIDFont+F7"/>
          <w:color w:val="C9211E"/>
          <w:sz w:val="21"/>
          <w:szCs w:val="21"/>
        </w:rPr>
        <w:t>€</w:t>
      </w:r>
      <w:r>
        <w:rPr>
          <w:rFonts w:ascii="CIDFont+F7" w:hAnsi="CIDFont+F7"/>
          <w:color w:val="C9211E"/>
          <w:sz w:val="21"/>
          <w:szCs w:val="21"/>
        </w:rPr>
        <w:t xml:space="preserve"> en 2021, </w:t>
      </w:r>
      <w:r>
        <w:rPr>
          <w:rFonts w:ascii="CIDFont+F7" w:hAnsi="CIDFont+F7"/>
          <w:color w:val="C9211E"/>
          <w:sz w:val="21"/>
          <w:szCs w:val="21"/>
        </w:rPr>
        <w:t>53</w:t>
      </w:r>
      <w:r>
        <w:rPr>
          <w:rFonts w:ascii="CIDFont+F7" w:hAnsi="CIDFont+F7"/>
          <w:color w:val="C9211E"/>
          <w:sz w:val="21"/>
          <w:szCs w:val="21"/>
        </w:rPr>
        <w:t>€</w:t>
      </w:r>
      <w:r>
        <w:rPr>
          <w:rFonts w:ascii="CIDFont+F7" w:hAnsi="CIDFont+F7"/>
          <w:color w:val="C9211E"/>
          <w:sz w:val="21"/>
          <w:szCs w:val="21"/>
        </w:rPr>
        <w:t xml:space="preserve"> en 2022, 5</w:t>
      </w:r>
      <w:r>
        <w:rPr>
          <w:rFonts w:ascii="CIDFont+F7" w:hAnsi="CIDFont+F7"/>
          <w:color w:val="C9211E"/>
          <w:sz w:val="21"/>
          <w:szCs w:val="21"/>
        </w:rPr>
        <w:t>8</w:t>
      </w:r>
      <w:r>
        <w:rPr>
          <w:rFonts w:ascii="CIDFont+F7" w:hAnsi="CIDFont+F7"/>
          <w:color w:val="C9211E"/>
          <w:sz w:val="21"/>
          <w:szCs w:val="21"/>
        </w:rPr>
        <w:t>€</w:t>
      </w:r>
      <w:r>
        <w:rPr>
          <w:rFonts w:ascii="CIDFont+F7" w:hAnsi="CIDFont+F7"/>
          <w:color w:val="C9211E"/>
          <w:sz w:val="21"/>
          <w:szCs w:val="21"/>
        </w:rPr>
        <w:t xml:space="preserve"> en 2023, </w:t>
      </w:r>
      <w:r>
        <w:rPr>
          <w:rFonts w:ascii="CIDFont+F7" w:hAnsi="CIDFont+F7"/>
          <w:color w:val="C9211E"/>
          <w:sz w:val="21"/>
          <w:szCs w:val="21"/>
        </w:rPr>
        <w:t>61€ en 2024</w:t>
      </w:r>
      <w:r>
        <w:rPr>
          <w:rFonts w:ascii="CIDFont+F7" w:hAnsi="CIDFont+F7"/>
          <w:color w:val="C9211E"/>
          <w:sz w:val="21"/>
          <w:szCs w:val="21"/>
        </w:rPr>
        <w:t xml:space="preserve"> </w:t>
      </w:r>
      <w:r>
        <w:rPr>
          <w:rFonts w:ascii="CIDFont+F7" w:hAnsi="CIDFont+F7"/>
          <w:color w:val="C9211E"/>
          <w:sz w:val="21"/>
          <w:szCs w:val="21"/>
          <w:shd w:fill="FFFFFF" w:val="clear"/>
        </w:rPr>
        <w:t>et 65</w:t>
      </w:r>
      <w:r>
        <w:rPr>
          <w:rFonts w:ascii="CIDFont+F7" w:hAnsi="CIDFont+F7"/>
          <w:color w:val="C9211E"/>
          <w:sz w:val="21"/>
          <w:szCs w:val="21"/>
          <w:shd w:fill="FFFFFF" w:val="clear"/>
        </w:rPr>
        <w:t>€</w:t>
      </w:r>
      <w:r>
        <w:rPr>
          <w:rFonts w:ascii="CIDFont+F7" w:hAnsi="CIDFont+F7"/>
          <w:color w:val="C9211E"/>
          <w:sz w:val="21"/>
          <w:szCs w:val="21"/>
          <w:shd w:fill="FFFFFF" w:val="clear"/>
        </w:rPr>
        <w:t xml:space="preserve"> en 2025.</w:t>
      </w:r>
    </w:p>
    <w:p>
      <w:pPr>
        <w:pStyle w:val="Normal"/>
        <w:rPr>
          <w:sz w:val="18"/>
          <w:szCs w:val="24"/>
        </w:rPr>
      </w:pPr>
      <w:r>
        <w:rPr>
          <w:sz w:val="18"/>
          <w:szCs w:val="24"/>
        </w:rPr>
        <w:t xml:space="preserve">Pour la Dordogne : </w:t>
      </w:r>
      <w:r>
        <w:rPr>
          <w:rFonts w:ascii="Liberation Serif" w:hAnsi="Liberation Serif"/>
          <w:b/>
          <w:strike w:val="false"/>
          <w:dstrike w:val="false"/>
          <w:color w:val="000000"/>
          <w:sz w:val="18"/>
          <w:szCs w:val="24"/>
          <w:u w:val="none"/>
        </w:rPr>
        <w:t xml:space="preserve">étape intermédiaire 2020 </w:t>
      </w:r>
      <w:r>
        <w:rPr>
          <w:rFonts w:ascii="Liberation Serif" w:hAnsi="Liberation Serif"/>
          <w:b/>
          <w:strike w:val="false"/>
          <w:dstrike w:val="false"/>
          <w:color w:val="000000"/>
          <w:sz w:val="18"/>
          <w:szCs w:val="24"/>
          <w:u w:val="none"/>
        </w:rPr>
        <w:t>à</w:t>
      </w:r>
      <w:r>
        <w:rPr>
          <w:rFonts w:ascii="Liberation Serif" w:hAnsi="Liberation Serif"/>
          <w:b/>
          <w:strike w:val="false"/>
          <w:dstrike w:val="false"/>
          <w:color w:val="000000"/>
          <w:sz w:val="18"/>
          <w:szCs w:val="24"/>
          <w:u w:val="none"/>
        </w:rPr>
        <w:t xml:space="preserve"> 75 000 t</w:t>
      </w:r>
      <w:r>
        <w:rPr>
          <w:strike w:val="false"/>
          <w:dstrike w:val="false"/>
          <w:color w:val="000000"/>
          <w:sz w:val="20"/>
          <w:szCs w:val="24"/>
          <w:u w:val="none"/>
        </w:rPr>
        <w:t xml:space="preserve">  </w:t>
      </w:r>
    </w:p>
    <w:p>
      <w:pPr>
        <w:pStyle w:val="Normal"/>
        <w:rPr>
          <w:sz w:val="18"/>
          <w:szCs w:val="24"/>
        </w:rPr>
      </w:pPr>
      <w:r>
        <w:drawing>
          <wp:anchor behindDoc="0" distT="0" distB="0" distL="0" distR="0" simplePos="0" locked="0" layoutInCell="0" allowOverlap="1" relativeHeight="2">
            <wp:simplePos x="0" y="0"/>
            <wp:positionH relativeFrom="column">
              <wp:posOffset>10795</wp:posOffset>
            </wp:positionH>
            <wp:positionV relativeFrom="paragraph">
              <wp:posOffset>75565</wp:posOffset>
            </wp:positionV>
            <wp:extent cx="3089275" cy="17240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089275" cy="1724025"/>
                    </a:xfrm>
                    <a:prstGeom prst="rect">
                      <a:avLst/>
                    </a:prstGeom>
                  </pic:spPr>
                </pic:pic>
              </a:graphicData>
            </a:graphic>
          </wp:anchor>
        </w:drawing>
        <w:drawing>
          <wp:anchor behindDoc="0" distT="0" distB="0" distL="0" distR="0" simplePos="0" locked="0" layoutInCell="0" allowOverlap="1" relativeHeight="3">
            <wp:simplePos x="0" y="0"/>
            <wp:positionH relativeFrom="column">
              <wp:posOffset>4379595</wp:posOffset>
            </wp:positionH>
            <wp:positionV relativeFrom="paragraph">
              <wp:posOffset>135255</wp:posOffset>
            </wp:positionV>
            <wp:extent cx="2526030" cy="153543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2526030" cy="1535430"/>
                    </a:xfrm>
                    <a:prstGeom prst="rect">
                      <a:avLst/>
                    </a:prstGeom>
                  </pic:spPr>
                </pic:pic>
              </a:graphicData>
            </a:graphic>
          </wp:anchor>
        </w:drawing>
      </w:r>
      <w:r>
        <w:rPr>
          <w:rFonts w:ascii="Liberation Serif" w:hAnsi="Liberation Serif"/>
          <w:b/>
          <w:bCs/>
          <w:i/>
          <w:iCs/>
          <w:strike w:val="false"/>
          <w:dstrike w:val="false"/>
          <w:color w:val="000000"/>
          <w:sz w:val="26"/>
          <w:szCs w:val="26"/>
          <w:u w:val="none"/>
        </w:rPr>
        <w:t>l</w:t>
      </w:r>
      <w:r>
        <w:rPr>
          <w:rFonts w:ascii="Liberation Serif" w:hAnsi="Liberation Serif"/>
          <w:b/>
          <w:bCs/>
          <w:i/>
          <w:iCs/>
          <w:strike w:val="false"/>
          <w:dstrike w:val="false"/>
          <w:color w:val="000000"/>
          <w:sz w:val="21"/>
          <w:szCs w:val="21"/>
          <w:u w:val="none"/>
        </w:rPr>
        <w:t>a r</w:t>
      </w:r>
      <w:r>
        <w:rPr>
          <w:rFonts w:ascii="Liberation Serif" w:hAnsi="Liberation Serif"/>
          <w:b/>
          <w:bCs/>
          <w:i/>
          <w:iCs/>
          <w:color w:val="000000"/>
          <w:sz w:val="21"/>
          <w:szCs w:val="21"/>
        </w:rPr>
        <w:t xml:space="preserve">éduction forte de la production de déchets est analysée comme </w:t>
      </w:r>
      <w:r>
        <w:rPr>
          <w:rFonts w:ascii="Liberation Serif" w:hAnsi="Liberation Serif"/>
          <w:b/>
          <w:bCs/>
          <w:i/>
          <w:iCs/>
          <w:color w:val="000000"/>
          <w:sz w:val="21"/>
          <w:szCs w:val="21"/>
          <w:u w:val="single"/>
        </w:rPr>
        <w:t>l’unique voie</w:t>
      </w:r>
      <w:r>
        <w:rPr>
          <w:rFonts w:ascii="Liberation Serif" w:hAnsi="Liberation Serif"/>
          <w:b/>
          <w:bCs/>
          <w:i/>
          <w:iCs/>
          <w:color w:val="000000"/>
          <w:sz w:val="21"/>
          <w:szCs w:val="21"/>
        </w:rPr>
        <w:t xml:space="preserve"> pour maintenir à court et moyen terme l’autonomie du SMD3 et garder un cadre économique maîtrisé </w:t>
      </w:r>
    </w:p>
    <w:p>
      <w:pPr>
        <w:pStyle w:val="Normal"/>
        <w:rPr>
          <w:rFonts w:ascii="Liberation Serif" w:hAnsi="Liberation Serif"/>
          <w:b/>
          <w:b/>
          <w:bCs/>
          <w:strike w:val="false"/>
          <w:dstrike w:val="false"/>
          <w:color w:val="000000"/>
          <w:sz w:val="21"/>
          <w:szCs w:val="21"/>
          <w:u w:val="none"/>
        </w:rPr>
      </w:pPr>
      <w:r>
        <w:rPr>
          <w:rFonts w:ascii="Liberation Serif" w:hAnsi="Liberation Serif"/>
          <w:b/>
          <w:bCs/>
          <w:strike w:val="false"/>
          <w:dstrike w:val="false"/>
          <w:color w:val="000000"/>
          <w:sz w:val="21"/>
          <w:szCs w:val="21"/>
          <w:u w:val="none"/>
        </w:rPr>
      </w:r>
    </w:p>
    <w:p>
      <w:pPr>
        <w:pStyle w:val="Normal"/>
        <w:rPr>
          <w:rFonts w:ascii="Liberation Serif" w:hAnsi="Liberation Serif"/>
          <w:b/>
          <w:b/>
          <w:bCs/>
          <w:strike w:val="false"/>
          <w:dstrike w:val="false"/>
          <w:color w:val="000000"/>
          <w:sz w:val="21"/>
          <w:szCs w:val="21"/>
          <w:u w:val="none"/>
        </w:rPr>
      </w:pPr>
      <w:r>
        <w:rPr>
          <w:rFonts w:ascii="Liberation Serif" w:hAnsi="Liberation Serif"/>
          <w:b/>
          <w:bCs/>
          <w:strike w:val="false"/>
          <w:dstrike w:val="false"/>
          <w:color w:val="000000"/>
          <w:sz w:val="21"/>
          <w:szCs w:val="21"/>
          <w:u w:val="none"/>
        </w:rPr>
      </w:r>
    </w:p>
    <w:p>
      <w:pPr>
        <w:pStyle w:val="Normal"/>
        <w:jc w:val="left"/>
        <w:rPr>
          <w:sz w:val="24"/>
          <w:szCs w:val="24"/>
          <w:u w:val="single"/>
        </w:rPr>
      </w:pPr>
      <w:r>
        <mc:AlternateContent>
          <mc:Choice Requires="wps">
            <w:drawing>
              <wp:anchor behindDoc="0" distT="0" distB="0" distL="0" distR="0" simplePos="0" locked="0" layoutInCell="0" allowOverlap="1" relativeHeight="5">
                <wp:simplePos x="0" y="0"/>
                <wp:positionH relativeFrom="column">
                  <wp:posOffset>5275580</wp:posOffset>
                </wp:positionH>
                <wp:positionV relativeFrom="paragraph">
                  <wp:posOffset>124460</wp:posOffset>
                </wp:positionV>
                <wp:extent cx="1299210" cy="1867535"/>
                <wp:effectExtent l="0" t="0" r="0" b="0"/>
                <wp:wrapNone/>
                <wp:docPr id="3" name="Forme1"/>
                <a:graphic xmlns:a="http://schemas.openxmlformats.org/drawingml/2006/main">
                  <a:graphicData uri="http://schemas.openxmlformats.org/drawingml/2006/picture">
                    <pic:pic xmlns:pic="http://schemas.openxmlformats.org/drawingml/2006/picture">
                      <pic:nvPicPr>
                        <pic:cNvPr id="0" name="Forme1" descr=""/>
                        <pic:cNvPicPr/>
                      </pic:nvPicPr>
                      <pic:blipFill>
                        <a:blip r:embed="rId4"/>
                        <a:stretch/>
                      </pic:blipFill>
                      <pic:spPr>
                        <a:xfrm>
                          <a:off x="0" y="0"/>
                          <a:ext cx="1299240" cy="186768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Forme1" stroked="f" o:allowincell="f" style="position:absolute;margin-left:415.4pt;margin-top:9.8pt;width:102.25pt;height:147pt;mso-wrap-style:none;v-text-anchor:middle" type="_x0000_t75">
                <v:imagedata r:id="rId4" o:detectmouseclick="t"/>
                <v:stroke color="#3465a4" joinstyle="round" endcap="flat"/>
                <w10:wrap type="none"/>
              </v:shape>
            </w:pict>
          </mc:Fallback>
        </mc:AlternateContent>
      </w:r>
      <w:r>
        <w:rPr>
          <w:rFonts w:ascii="TitilliumWeb-Bold" w:hAnsi="TitilliumWeb-Bold"/>
          <w:b/>
          <w:strike w:val="false"/>
          <w:dstrike w:val="false"/>
          <w:color w:val="00C0C0"/>
          <w:sz w:val="18"/>
          <w:szCs w:val="24"/>
          <w:u w:val="single"/>
        </w:rPr>
        <w:t>LA POUBELLE NOIRE D</w:t>
      </w:r>
      <w:r>
        <w:rPr>
          <w:rFonts w:ascii="TitilliumWeb-Bold" w:hAnsi="TitilliumWeb-Bold"/>
          <w:b/>
          <w:color w:val="00C0C0"/>
          <w:sz w:val="18"/>
          <w:szCs w:val="24"/>
          <w:u w:val="single"/>
        </w:rPr>
        <w:t>’UN PÉRIGOURDIN</w:t>
      </w:r>
    </w:p>
    <w:p>
      <w:pPr>
        <w:pStyle w:val="Normal"/>
        <w:rPr>
          <w:sz w:val="24"/>
          <w:szCs w:val="24"/>
        </w:rPr>
      </w:pPr>
      <w:r>
        <w:rPr>
          <w:rFonts w:ascii="Barlow-Regular" w:hAnsi="Barlow-Regular"/>
          <w:b w:val="false"/>
          <w:bCs w:val="false"/>
          <w:color w:val="000000"/>
          <w:sz w:val="18"/>
          <w:szCs w:val="24"/>
          <w:u w:val="single"/>
        </w:rPr>
        <w:t xml:space="preserve">en </w:t>
      </w:r>
      <w:r>
        <w:rPr>
          <w:rFonts w:ascii="Barlow-Regular" w:hAnsi="Barlow-Regular"/>
          <w:b w:val="false"/>
          <w:bCs w:val="false"/>
          <w:color w:val="000000"/>
          <w:sz w:val="18"/>
          <w:szCs w:val="24"/>
          <w:u w:val="single"/>
        </w:rPr>
        <w:t>2017</w:t>
      </w:r>
      <w:r>
        <w:rPr>
          <w:rFonts w:ascii="Barlow-Regular" w:hAnsi="Barlow-Regular"/>
          <w:b w:val="false"/>
          <w:bCs w:val="false"/>
          <w:color w:val="000000"/>
          <w:sz w:val="18"/>
          <w:szCs w:val="24"/>
        </w:rPr>
        <w:t xml:space="preserve">  </w:t>
      </w:r>
      <w:r>
        <w:rPr>
          <w:rFonts w:ascii="Barlow-SemiBold" w:hAnsi="Barlow-SemiBold"/>
          <w:b/>
          <w:color w:val="000000"/>
          <w:sz w:val="18"/>
          <w:szCs w:val="24"/>
        </w:rPr>
        <w:t xml:space="preserve">234 kg/hab/an  </w:t>
      </w:r>
      <w:r>
        <w:rPr>
          <w:rFonts w:ascii="Barlow-Regular" w:hAnsi="Barlow-Regular"/>
          <w:b w:val="false"/>
          <w:bCs w:val="false"/>
          <w:color w:val="000000"/>
          <w:sz w:val="18"/>
          <w:szCs w:val="24"/>
        </w:rPr>
        <w:t xml:space="preserve"> </w:t>
      </w:r>
      <w:r>
        <w:rPr>
          <w:rFonts w:ascii="Barlow-Regular" w:hAnsi="Barlow-Regular"/>
          <w:b w:val="false"/>
          <w:bCs w:val="false"/>
          <w:color w:val="000000"/>
          <w:sz w:val="18"/>
          <w:szCs w:val="24"/>
        </w:rPr>
        <w:t xml:space="preserve"> </w:t>
      </w:r>
      <w:r>
        <w:rPr>
          <w:rFonts w:ascii="Barlow-Regular" w:hAnsi="Barlow-Regular"/>
          <w:color w:val="000000"/>
          <w:sz w:val="18"/>
          <w:szCs w:val="24"/>
        </w:rPr>
        <w:t xml:space="preserve">                                                                                                   </w:t>
      </w:r>
      <w:r>
        <w:rPr>
          <w:rFonts w:ascii="Barlow-Regular" w:hAnsi="Barlow-Regular"/>
          <w:color w:val="000000"/>
          <w:sz w:val="18"/>
          <w:szCs w:val="24"/>
        </w:rPr>
        <w:t xml:space="preserve">                      </w:t>
      </w:r>
      <w:r>
        <w:rPr>
          <w:rFonts w:ascii="Barlow-Regular" w:hAnsi="Barlow-Regular"/>
          <w:color w:val="000000"/>
          <w:sz w:val="18"/>
          <w:szCs w:val="24"/>
        </w:rPr>
        <w:t xml:space="preserve">   </w:t>
      </w:r>
      <w:r>
        <w:rPr>
          <w:rFonts w:ascii="Barlow-Regular" w:hAnsi="Barlow-Regular"/>
          <w:color w:val="000000"/>
          <w:sz w:val="18"/>
          <w:szCs w:val="24"/>
          <w:u w:val="single"/>
        </w:rPr>
        <w:t>en 2021</w:t>
      </w:r>
    </w:p>
    <w:p>
      <w:pPr>
        <w:pStyle w:val="Normal"/>
        <w:jc w:val="left"/>
        <w:rPr>
          <w:sz w:val="24"/>
          <w:szCs w:val="24"/>
        </w:rPr>
      </w:pPr>
      <w:r>
        <w:drawing>
          <wp:anchor behindDoc="0" distT="0" distB="0" distL="0" distR="0" simplePos="0" locked="0" layoutInCell="0" allowOverlap="1" relativeHeight="4">
            <wp:simplePos x="0" y="0"/>
            <wp:positionH relativeFrom="column">
              <wp:posOffset>79375</wp:posOffset>
            </wp:positionH>
            <wp:positionV relativeFrom="paragraph">
              <wp:posOffset>11430</wp:posOffset>
            </wp:positionV>
            <wp:extent cx="1107440" cy="1405255"/>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1107440" cy="1405255"/>
                    </a:xfrm>
                    <a:prstGeom prst="rect">
                      <a:avLst/>
                    </a:prstGeom>
                  </pic:spPr>
                </pic:pic>
              </a:graphicData>
            </a:graphic>
          </wp:anchor>
        </w:drawing>
      </w:r>
      <w:r>
        <w:rPr>
          <w:rFonts w:ascii="Barlow-SemiBold" w:hAnsi="Barlow-SemiBold"/>
          <w:b/>
          <w:strike w:val="false"/>
          <w:dstrike w:val="false"/>
          <w:color w:val="000000"/>
          <w:sz w:val="18"/>
          <w:szCs w:val="24"/>
          <w:u w:val="none"/>
        </w:rPr>
        <w:t xml:space="preserve">      </w:t>
      </w:r>
      <w:r>
        <w:rPr>
          <w:rFonts w:ascii="Barlow-SemiBold" w:hAnsi="Barlow-SemiBold"/>
          <w:b/>
          <w:strike w:val="false"/>
          <w:dstrike w:val="false"/>
          <w:color w:val="000000"/>
          <w:sz w:val="18"/>
          <w:szCs w:val="24"/>
          <w:u w:val="none"/>
        </w:rPr>
        <w:t xml:space="preserve">143 kg </w:t>
      </w:r>
      <w:r>
        <w:rPr>
          <w:rFonts w:ascii="Barlow-Regular" w:hAnsi="Barlow-Regular"/>
          <w:sz w:val="18"/>
          <w:szCs w:val="24"/>
        </w:rPr>
        <w:t>sont valorisables !</w:t>
      </w:r>
    </w:p>
    <w:p>
      <w:pPr>
        <w:pStyle w:val="Normal"/>
        <w:rPr/>
      </w:pPr>
      <w:r>
        <w:rPr>
          <w:strike w:val="false"/>
          <w:dstrike w:val="false"/>
          <w:sz w:val="20"/>
          <w:szCs w:val="24"/>
          <w:u w:val="none"/>
        </w:rPr>
        <w:t xml:space="preserve"> </w:t>
      </w:r>
      <w:r>
        <w:rPr>
          <w:rFonts w:ascii="TitilliumWeb-Bold" w:hAnsi="TitilliumWeb-Bold"/>
          <w:b/>
          <w:strike w:val="false"/>
          <w:dstrike w:val="false"/>
          <w:color w:val="00C0C0"/>
          <w:sz w:val="18"/>
          <w:u w:val="none"/>
        </w:rPr>
        <w:t xml:space="preserve">POURQUOI METTRE EN PLACE </w:t>
      </w:r>
      <w:r>
        <w:rPr>
          <w:rFonts w:ascii="TitilliumWeb-Bold" w:hAnsi="TitilliumWeb-Bold"/>
          <w:b/>
          <w:color w:val="00C0C0"/>
          <w:sz w:val="18"/>
        </w:rPr>
        <w:t xml:space="preserve">LA REDEVANCE INCITATIVE ?                    </w:t>
      </w:r>
    </w:p>
    <w:p>
      <w:pPr>
        <w:pStyle w:val="Normal"/>
        <w:rPr>
          <w:rFonts w:ascii="Barlow-Regular" w:hAnsi="Barlow-Regular"/>
          <w:color w:val="000000"/>
          <w:sz w:val="18"/>
        </w:rPr>
      </w:pPr>
      <w:r>
        <w:rPr>
          <w:rFonts w:ascii="Barlow-Regular" w:hAnsi="Barlow-Regular"/>
          <w:color w:val="000000"/>
          <w:sz w:val="18"/>
        </w:rPr>
        <w:t xml:space="preserve">Pour : </w:t>
      </w:r>
    </w:p>
    <w:p>
      <w:pPr>
        <w:pStyle w:val="Normal"/>
        <w:rPr/>
      </w:pPr>
      <w:r>
        <w:rPr>
          <w:rFonts w:ascii="Barlow-Regular" w:hAnsi="Barlow-Regular"/>
          <w:b/>
          <w:color w:val="000000"/>
          <w:sz w:val="18"/>
        </w:rPr>
        <w:t xml:space="preserve">        </w:t>
      </w:r>
      <w:r>
        <w:rPr>
          <w:rFonts w:ascii="Barlow-SemiBold" w:hAnsi="Barlow-SemiBold"/>
          <w:b/>
          <w:color w:val="000000"/>
          <w:sz w:val="18"/>
        </w:rPr>
        <w:t xml:space="preserve">répondre </w:t>
      </w:r>
      <w:r>
        <w:rPr>
          <w:rFonts w:ascii="Barlow-Regular" w:hAnsi="Barlow-Regular"/>
          <w:color w:val="000000"/>
          <w:sz w:val="18"/>
        </w:rPr>
        <w:t>aux objectifs fixés par la loi de transition énergétique d’ici 2025 :</w:t>
      </w:r>
    </w:p>
    <w:p>
      <w:pPr>
        <w:pStyle w:val="Normal"/>
        <w:jc w:val="left"/>
        <w:rPr/>
      </w:pPr>
      <w:r>
        <w:rPr>
          <w:rFonts w:ascii="Barlow-MediumItalic" w:hAnsi="Barlow-MediumItalic"/>
          <w:i/>
          <w:color w:val="000000"/>
          <w:sz w:val="18"/>
        </w:rPr>
        <w:t xml:space="preserve">             </w:t>
      </w:r>
      <w:r>
        <w:rPr>
          <w:rFonts w:ascii="Barlow-MediumItalic" w:hAnsi="Barlow-MediumItalic"/>
          <w:i/>
          <w:color w:val="000000"/>
          <w:sz w:val="18"/>
        </w:rPr>
        <w:t xml:space="preserve">- réduire de 50 % </w:t>
      </w:r>
      <w:r>
        <w:rPr>
          <w:rFonts w:ascii="Barlow-Regular" w:hAnsi="Barlow-Regular"/>
          <w:color w:val="000000"/>
          <w:sz w:val="18"/>
        </w:rPr>
        <w:t>la quantité des ordures ménagères enfouies</w:t>
      </w:r>
    </w:p>
    <w:p>
      <w:pPr>
        <w:pStyle w:val="Normal"/>
        <w:jc w:val="left"/>
        <w:rPr/>
      </w:pPr>
      <w:r>
        <w:rPr>
          <w:rFonts w:ascii="Barlow-MediumItalic" w:hAnsi="Barlow-MediumItalic"/>
          <w:i/>
          <w:color w:val="000000"/>
          <w:sz w:val="18"/>
        </w:rPr>
        <w:t xml:space="preserve">              </w:t>
      </w:r>
      <w:r>
        <w:rPr>
          <w:rFonts w:ascii="Barlow-MediumItalic" w:hAnsi="Barlow-MediumItalic"/>
          <w:i/>
          <w:color w:val="000000"/>
          <w:sz w:val="18"/>
        </w:rPr>
        <w:t xml:space="preserve">- augmenter de 30 % </w:t>
      </w:r>
      <w:r>
        <w:rPr>
          <w:rFonts w:ascii="Barlow-Regular" w:hAnsi="Barlow-Regular"/>
          <w:color w:val="000000"/>
          <w:sz w:val="18"/>
        </w:rPr>
        <w:t>le recyclage</w:t>
      </w:r>
    </w:p>
    <w:p>
      <w:pPr>
        <w:pStyle w:val="Normal"/>
        <w:jc w:val="left"/>
        <w:rPr/>
      </w:pPr>
      <w:r>
        <w:rPr>
          <w:rFonts w:ascii="Barlow-MediumItalic" w:hAnsi="Barlow-MediumItalic"/>
          <w:i/>
          <w:color w:val="000000"/>
          <w:sz w:val="18"/>
        </w:rPr>
        <w:t xml:space="preserve">              </w:t>
      </w:r>
      <w:r>
        <w:rPr>
          <w:rFonts w:ascii="Barlow-MediumItalic" w:hAnsi="Barlow-MediumItalic"/>
          <w:i/>
          <w:color w:val="000000"/>
          <w:sz w:val="18"/>
        </w:rPr>
        <w:t xml:space="preserve">- réduire de 10 % </w:t>
      </w:r>
      <w:r>
        <w:rPr>
          <w:rFonts w:ascii="Barlow-Regular" w:hAnsi="Barlow-Regular"/>
          <w:color w:val="000000"/>
          <w:sz w:val="18"/>
        </w:rPr>
        <w:t>l’ensemble de nos déchets</w:t>
      </w:r>
    </w:p>
    <w:p>
      <w:pPr>
        <w:pStyle w:val="Normal"/>
        <w:jc w:val="left"/>
        <w:rPr/>
      </w:pPr>
      <w:r>
        <w:rPr>
          <w:rFonts w:ascii="Barlow-MediumItalic" w:hAnsi="Barlow-MediumItalic"/>
          <w:i/>
          <w:color w:val="000000"/>
          <w:sz w:val="18"/>
        </w:rPr>
        <w:t xml:space="preserve">              </w:t>
      </w:r>
      <w:r>
        <w:rPr>
          <w:rFonts w:ascii="Barlow-MediumItalic" w:hAnsi="Barlow-MediumItalic"/>
          <w:i/>
          <w:color w:val="000000"/>
          <w:sz w:val="18"/>
        </w:rPr>
        <w:t xml:space="preserve">- valoriser </w:t>
      </w:r>
      <w:r>
        <w:rPr>
          <w:rFonts w:ascii="Barlow-Regular" w:hAnsi="Barlow-Regular"/>
          <w:color w:val="000000"/>
          <w:sz w:val="18"/>
        </w:rPr>
        <w:t>les bios déchets et éviter le gaspillage alimentaire</w:t>
      </w:r>
    </w:p>
    <w:p>
      <w:pPr>
        <w:pStyle w:val="Normal"/>
        <w:jc w:val="left"/>
        <w:rPr/>
      </w:pPr>
      <w:r>
        <w:rPr>
          <w:rFonts w:ascii="Barlow-SemiBold" w:hAnsi="Barlow-SemiBold"/>
          <w:b/>
          <w:color w:val="000000"/>
          <w:sz w:val="18"/>
        </w:rPr>
        <w:t xml:space="preserve">        </w:t>
      </w:r>
      <w:r>
        <w:rPr>
          <w:rFonts w:ascii="Barlow-SemiBold" w:hAnsi="Barlow-SemiBold"/>
          <w:b/>
          <w:color w:val="000000"/>
          <w:sz w:val="18"/>
        </w:rPr>
        <w:t xml:space="preserve">appliquer </w:t>
      </w:r>
      <w:r>
        <w:rPr>
          <w:rFonts w:ascii="Barlow-Regular" w:hAnsi="Barlow-Regular"/>
          <w:color w:val="000000"/>
          <w:sz w:val="18"/>
        </w:rPr>
        <w:t>un système de facturation plus juste et équitable</w:t>
      </w:r>
    </w:p>
    <w:p>
      <w:pPr>
        <w:pStyle w:val="Normal"/>
        <w:jc w:val="left"/>
        <w:rPr/>
      </w:pPr>
      <w:r>
        <w:rPr>
          <w:rFonts w:ascii="Barlow-SemiBold" w:hAnsi="Barlow-SemiBold"/>
          <w:b/>
          <w:color w:val="000000"/>
          <w:sz w:val="18"/>
        </w:rPr>
        <w:t xml:space="preserve">        </w:t>
      </w:r>
      <w:r>
        <w:rPr>
          <w:rFonts w:ascii="Barlow-SemiBold" w:hAnsi="Barlow-SemiBold"/>
          <w:b/>
          <w:color w:val="000000"/>
          <w:sz w:val="18"/>
        </w:rPr>
        <w:t xml:space="preserve">maîtriser </w:t>
      </w:r>
      <w:r>
        <w:rPr>
          <w:rFonts w:ascii="Barlow-Regular" w:hAnsi="Barlow-Regular"/>
          <w:color w:val="000000"/>
          <w:sz w:val="18"/>
        </w:rPr>
        <w:t xml:space="preserve">les coûts de la gestion </w:t>
      </w:r>
      <w:r>
        <w:rPr>
          <w:rFonts w:ascii="Barlow-Regular" w:hAnsi="Barlow-Regular"/>
          <w:color w:val="000000"/>
          <w:sz w:val="18"/>
          <w:szCs w:val="24"/>
        </w:rPr>
        <w:t>des déchets et la facture des usagers</w:t>
      </w:r>
    </w:p>
    <w:p>
      <w:pPr>
        <w:pStyle w:val="Normal"/>
        <w:jc w:val="left"/>
        <w:rPr>
          <w:rFonts w:ascii="Barlow-Regular" w:hAnsi="Barlow-Regular"/>
          <w:color w:val="C9211E"/>
          <w:sz w:val="18"/>
          <w:szCs w:val="24"/>
        </w:rPr>
      </w:pPr>
      <w:r>
        <w:rPr>
          <w:rFonts w:ascii="Barlow-Regular" w:hAnsi="Barlow-Regular"/>
          <w:color w:val="C9211E"/>
          <w:sz w:val="18"/>
          <w:szCs w:val="24"/>
        </w:rPr>
      </w:r>
    </w:p>
    <w:p>
      <w:pPr>
        <w:pStyle w:val="Normal"/>
        <w:jc w:val="center"/>
        <w:rPr>
          <w:color w:val="C9211E"/>
          <w:sz w:val="30"/>
          <w:szCs w:val="30"/>
        </w:rPr>
      </w:pPr>
      <w:r>
        <w:rPr>
          <w:b/>
          <w:bCs/>
          <w:color w:val="C9211E"/>
          <w:sz w:val="30"/>
          <w:szCs w:val="30"/>
        </w:rPr>
        <w:t>objectif</w:t>
      </w:r>
      <w:r>
        <w:rPr>
          <w:b/>
          <w:bCs/>
          <w:color w:val="C9211E"/>
          <w:sz w:val="30"/>
          <w:szCs w:val="30"/>
        </w:rPr>
        <w:t>s</w:t>
      </w:r>
      <w:r>
        <w:rPr>
          <w:b/>
          <w:bCs/>
          <w:color w:val="C9211E"/>
          <w:sz w:val="30"/>
          <w:szCs w:val="30"/>
        </w:rPr>
        <w:t> </w:t>
      </w:r>
      <w:r>
        <w:rPr>
          <w:color w:val="C9211E"/>
          <w:sz w:val="30"/>
          <w:szCs w:val="30"/>
        </w:rPr>
        <w:t xml:space="preserve">: </w:t>
      </w:r>
    </w:p>
    <w:p>
      <w:pPr>
        <w:pStyle w:val="Normal"/>
        <w:jc w:val="center"/>
        <w:rPr>
          <w:color w:val="C9211E"/>
          <w:sz w:val="30"/>
          <w:szCs w:val="30"/>
        </w:rPr>
      </w:pPr>
      <w:r>
        <w:rPr>
          <w:color w:val="C9211E"/>
          <w:sz w:val="30"/>
          <w:szCs w:val="30"/>
        </w:rPr>
        <w:t>réduction de</w:t>
      </w:r>
      <w:r>
        <w:rPr>
          <w:color w:val="C9211E"/>
          <w:sz w:val="30"/>
          <w:szCs w:val="30"/>
        </w:rPr>
        <w:t xml:space="preserve">s </w:t>
      </w:r>
      <w:r>
        <w:rPr>
          <w:color w:val="C9211E"/>
          <w:sz w:val="30"/>
          <w:szCs w:val="30"/>
          <w:u w:val="single"/>
        </w:rPr>
        <w:t>déchets</w:t>
      </w:r>
      <w:r>
        <w:rPr>
          <w:b/>
          <w:bCs/>
          <w:color w:val="C9211E"/>
          <w:sz w:val="30"/>
          <w:szCs w:val="30"/>
        </w:rPr>
        <w:t xml:space="preserve"> </w:t>
      </w:r>
      <w:r>
        <w:rPr>
          <w:b/>
          <w:bCs/>
          <w:color w:val="C9211E"/>
          <w:sz w:val="30"/>
          <w:szCs w:val="30"/>
        </w:rPr>
        <w:t xml:space="preserve">590 kg/an </w:t>
      </w:r>
      <w:r>
        <w:rPr>
          <w:b w:val="false"/>
          <w:bCs w:val="false"/>
          <w:color w:val="C9211E"/>
          <w:sz w:val="30"/>
          <w:szCs w:val="30"/>
        </w:rPr>
        <w:t xml:space="preserve">pour chaque habitant </w:t>
      </w:r>
      <w:r>
        <w:rPr>
          <w:b w:val="false"/>
          <w:bCs w:val="false"/>
          <w:color w:val="C9211E"/>
          <w:sz w:val="30"/>
          <w:szCs w:val="30"/>
        </w:rPr>
        <w:t xml:space="preserve">à </w:t>
      </w:r>
      <w:r>
        <w:rPr>
          <w:b/>
          <w:bCs/>
          <w:color w:val="C9211E"/>
          <w:sz w:val="30"/>
          <w:szCs w:val="30"/>
        </w:rPr>
        <w:t xml:space="preserve">530 kg/an  </w:t>
      </w:r>
      <w:r>
        <w:rPr>
          <w:b/>
          <w:bCs/>
          <w:color w:val="C9211E"/>
          <w:sz w:val="30"/>
          <w:szCs w:val="30"/>
        </w:rPr>
        <w:t>(</w:t>
      </w:r>
      <w:r>
        <w:rPr>
          <w:b w:val="false"/>
          <w:bCs w:val="false"/>
          <w:color w:val="C9211E"/>
          <w:sz w:val="30"/>
          <w:szCs w:val="30"/>
        </w:rPr>
        <w:t>-10%</w:t>
      </w:r>
      <w:r>
        <w:rPr>
          <w:b/>
          <w:bCs/>
          <w:color w:val="C9211E"/>
          <w:sz w:val="30"/>
          <w:szCs w:val="30"/>
        </w:rPr>
        <w:t xml:space="preserve">) </w:t>
      </w:r>
      <w:r>
        <w:rPr>
          <w:b w:val="false"/>
          <w:bCs w:val="false"/>
          <w:color w:val="C9211E"/>
          <w:sz w:val="30"/>
          <w:szCs w:val="30"/>
          <w:u w:val="single"/>
        </w:rPr>
        <w:t>en 2020</w:t>
      </w:r>
    </w:p>
    <w:p>
      <w:pPr>
        <w:pStyle w:val="Normal"/>
        <w:jc w:val="center"/>
        <w:rPr>
          <w:color w:val="C9211E"/>
          <w:sz w:val="30"/>
          <w:szCs w:val="30"/>
        </w:rPr>
      </w:pPr>
      <w:r>
        <w:rPr>
          <w:b w:val="false"/>
          <w:bCs w:val="false"/>
          <w:color w:val="C9211E"/>
          <w:sz w:val="30"/>
          <w:szCs w:val="30"/>
          <w:u w:val="single"/>
        </w:rPr>
        <w:t>ordures ménagères</w:t>
      </w:r>
      <w:r>
        <w:rPr>
          <w:b/>
          <w:bCs/>
          <w:color w:val="C9211E"/>
          <w:sz w:val="30"/>
          <w:szCs w:val="30"/>
        </w:rPr>
        <w:t xml:space="preserve"> </w:t>
      </w:r>
      <w:r>
        <w:rPr>
          <w:b w:val="false"/>
          <w:bCs w:val="false"/>
          <w:color w:val="C9211E"/>
          <w:sz w:val="30"/>
          <w:szCs w:val="30"/>
        </w:rPr>
        <w:t>de</w:t>
      </w:r>
      <w:r>
        <w:rPr>
          <w:b/>
          <w:bCs/>
          <w:color w:val="C9211E"/>
          <w:sz w:val="30"/>
          <w:szCs w:val="30"/>
        </w:rPr>
        <w:t xml:space="preserve"> 234 kg/habitant/an </w:t>
      </w:r>
      <w:r>
        <w:rPr>
          <w:b w:val="false"/>
          <w:bCs w:val="false"/>
          <w:color w:val="C9211E"/>
          <w:sz w:val="30"/>
          <w:szCs w:val="30"/>
        </w:rPr>
        <w:t>vers</w:t>
      </w:r>
      <w:r>
        <w:rPr>
          <w:b/>
          <w:bCs/>
          <w:color w:val="C9211E"/>
          <w:sz w:val="30"/>
          <w:szCs w:val="30"/>
        </w:rPr>
        <w:t xml:space="preserve"> 59kg/habitant/an </w:t>
      </w:r>
      <w:r>
        <w:rPr>
          <w:b w:val="false"/>
          <w:bCs w:val="false"/>
          <w:color w:val="C9211E"/>
          <w:sz w:val="30"/>
          <w:szCs w:val="30"/>
          <w:u w:val="single"/>
        </w:rPr>
        <w:t xml:space="preserve">en 2025 </w:t>
      </w:r>
      <w:r>
        <w:rPr>
          <w:b w:val="false"/>
          <w:bCs w:val="false"/>
          <w:color w:val="C9211E"/>
          <w:sz w:val="30"/>
          <w:szCs w:val="30"/>
        </w:rPr>
        <w:t>?</w:t>
      </w:r>
    </w:p>
    <w:p>
      <w:pPr>
        <w:pStyle w:val="Normal"/>
        <w:pBdr>
          <w:bottom w:val="single" w:sz="8" w:space="2" w:color="000000"/>
        </w:pBdr>
        <w:jc w:val="center"/>
        <w:rPr>
          <w:b w:val="false"/>
          <w:b w:val="false"/>
          <w:bCs w:val="false"/>
          <w:color w:val="C9211E"/>
          <w:sz w:val="30"/>
          <w:szCs w:val="30"/>
        </w:rPr>
      </w:pPr>
      <w:r>
        <w:rPr>
          <w:b w:val="false"/>
          <w:bCs w:val="false"/>
          <w:color w:val="C9211E"/>
          <w:sz w:val="30"/>
          <w:szCs w:val="30"/>
        </w:rPr>
      </w:r>
    </w:p>
    <w:p>
      <w:pPr>
        <w:pStyle w:val="Normal"/>
        <w:jc w:val="center"/>
        <w:rPr>
          <w:rFonts w:ascii="sans-serif" w:hAnsi="sans-serif"/>
          <w:b/>
          <w:b/>
          <w:bCs/>
          <w:color w:val="0000FF"/>
          <w:sz w:val="24"/>
          <w:szCs w:val="24"/>
          <w:u w:val="single"/>
        </w:rPr>
      </w:pPr>
      <w:r>
        <w:rPr>
          <w:rFonts w:ascii="sans-serif" w:hAnsi="sans-serif"/>
          <w:b/>
          <w:bCs/>
          <w:color w:val="0000FF"/>
          <w:sz w:val="24"/>
          <w:szCs w:val="24"/>
          <w:u w:val="single"/>
        </w:rPr>
      </w:r>
    </w:p>
    <w:p>
      <w:pPr>
        <w:pStyle w:val="Normal"/>
        <w:bidi w:val="0"/>
        <w:jc w:val="left"/>
        <w:rPr/>
      </w:pPr>
      <w:r>
        <w:rPr>
          <w:rFonts w:ascii="sans-serif" w:hAnsi="sans-serif"/>
          <w:b/>
          <w:bCs/>
          <w:color w:val="0000FF"/>
          <w:sz w:val="24"/>
          <w:szCs w:val="24"/>
          <w:u w:val="single"/>
        </w:rPr>
        <w:t>Historique</w:t>
      </w:r>
      <w:r>
        <w:rPr>
          <w:rFonts w:ascii="HelveticaNeue-ThinCond" w:hAnsi="HelveticaNeue-ThinCond"/>
          <w:color w:val="0000FF"/>
          <w:sz w:val="24"/>
          <w:szCs w:val="24"/>
        </w:rPr>
        <w:br/>
      </w:r>
      <w:r>
        <w:rPr>
          <w:rFonts w:ascii="sans-serif" w:hAnsi="sans-serif"/>
          <w:color w:val="0000FF"/>
          <w:sz w:val="24"/>
          <w:szCs w:val="24"/>
        </w:rPr>
        <w:t>1995</w:t>
      </w:r>
      <w:r>
        <w:rPr>
          <w:rFonts w:ascii="HelveticaNeue-ThinCond" w:hAnsi="HelveticaNeue-ThinCond"/>
          <w:color w:val="0000FF"/>
          <w:sz w:val="24"/>
          <w:szCs w:val="24"/>
        </w:rPr>
        <w:t xml:space="preserve"> ➜ </w:t>
      </w:r>
      <w:r>
        <w:rPr>
          <w:rFonts w:ascii="sans-serif" w:hAnsi="sans-serif"/>
          <w:color w:val="0000FF"/>
          <w:sz w:val="24"/>
          <w:szCs w:val="24"/>
        </w:rPr>
        <w:t>Arrêté préfectoral de création du SMD3</w:t>
      </w:r>
      <w:r>
        <w:rPr>
          <w:rFonts w:ascii="HelveticaNeue-ThinCond" w:hAnsi="HelveticaNeue-ThinCond"/>
          <w:color w:val="0000FF"/>
          <w:sz w:val="24"/>
          <w:szCs w:val="24"/>
        </w:rPr>
        <w:br/>
      </w:r>
      <w:r>
        <w:rPr>
          <w:rFonts w:ascii="sans-serif" w:hAnsi="sans-serif"/>
          <w:color w:val="0000FF"/>
          <w:sz w:val="24"/>
          <w:szCs w:val="24"/>
        </w:rPr>
        <w:t>1997</w:t>
      </w:r>
      <w:r>
        <w:rPr>
          <w:rFonts w:ascii="HelveticaNeue-ThinCond" w:hAnsi="HelveticaNeue-ThinCond"/>
          <w:color w:val="0000FF"/>
          <w:sz w:val="24"/>
          <w:szCs w:val="24"/>
        </w:rPr>
        <w:t xml:space="preserve"> ➜ </w:t>
      </w:r>
      <w:r>
        <w:rPr>
          <w:rFonts w:ascii="sans-serif" w:hAnsi="sans-serif"/>
          <w:color w:val="0000FF"/>
          <w:sz w:val="24"/>
          <w:szCs w:val="24"/>
        </w:rPr>
        <w:t>Démarrage opérationnel des activités du SMD3</w:t>
      </w:r>
      <w:r>
        <w:rPr>
          <w:rFonts w:ascii="HelveticaNeue-ThinCond" w:hAnsi="HelveticaNeue-ThinCond"/>
          <w:color w:val="0000FF"/>
          <w:sz w:val="24"/>
          <w:szCs w:val="24"/>
        </w:rPr>
        <w:br/>
      </w:r>
      <w:r>
        <w:rPr>
          <w:rFonts w:ascii="sans-serif" w:hAnsi="sans-serif"/>
          <w:color w:val="0000FF"/>
          <w:sz w:val="24"/>
          <w:szCs w:val="24"/>
        </w:rPr>
        <w:t>1999</w:t>
      </w:r>
      <w:r>
        <w:rPr>
          <w:rFonts w:ascii="HelveticaNeue-ThinCond" w:hAnsi="HelveticaNeue-ThinCond"/>
          <w:color w:val="0000FF"/>
          <w:sz w:val="24"/>
          <w:szCs w:val="24"/>
        </w:rPr>
        <w:t xml:space="preserve"> ➜ </w:t>
      </w:r>
      <w:r>
        <w:rPr>
          <w:rFonts w:ascii="sans-serif" w:hAnsi="sans-serif"/>
          <w:color w:val="0000FF"/>
          <w:sz w:val="24"/>
          <w:szCs w:val="24"/>
        </w:rPr>
        <w:t>Mise en service du centre de transfert de Vanxains</w:t>
      </w:r>
      <w:r>
        <w:rPr>
          <w:rFonts w:ascii="HelveticaNeue-ThinCond" w:hAnsi="HelveticaNeue-ThinCond"/>
          <w:color w:val="0000FF"/>
          <w:sz w:val="24"/>
          <w:szCs w:val="24"/>
        </w:rPr>
        <w:br/>
      </w:r>
      <w:r>
        <w:rPr>
          <w:rFonts w:ascii="sans-serif" w:hAnsi="sans-serif"/>
          <w:color w:val="0000FF"/>
          <w:sz w:val="24"/>
          <w:szCs w:val="24"/>
        </w:rPr>
        <w:t>2000</w:t>
      </w:r>
      <w:r>
        <w:rPr>
          <w:rFonts w:ascii="HelveticaNeue-ThinCond" w:hAnsi="HelveticaNeue-ThinCond"/>
          <w:color w:val="0000FF"/>
          <w:sz w:val="24"/>
          <w:szCs w:val="24"/>
        </w:rPr>
        <w:t xml:space="preserve"> ➜ </w:t>
      </w:r>
      <w:r>
        <w:rPr>
          <w:rFonts w:ascii="sans-serif" w:hAnsi="sans-serif"/>
          <w:color w:val="0000FF"/>
          <w:sz w:val="24"/>
          <w:szCs w:val="24"/>
        </w:rPr>
        <w:t>Mise en service du centre de tri de Marcillac (modernisé en 2015)</w:t>
      </w:r>
    </w:p>
    <w:p>
      <w:pPr>
        <w:pStyle w:val="Normal"/>
        <w:bidi w:val="0"/>
        <w:jc w:val="left"/>
        <w:rPr/>
      </w:pPr>
      <w:r>
        <w:rPr>
          <w:rFonts w:ascii="HelveticaNeue-ThinCond" w:hAnsi="HelveticaNeue-ThinCond"/>
          <w:color w:val="0000FF"/>
          <w:sz w:val="24"/>
          <w:szCs w:val="24"/>
        </w:rPr>
        <w:br/>
      </w:r>
      <w:r>
        <w:rPr>
          <w:rFonts w:ascii="sans-serif" w:hAnsi="sans-serif"/>
          <w:color w:val="0000FF"/>
          <w:sz w:val="24"/>
          <w:szCs w:val="24"/>
        </w:rPr>
        <w:t>2001</w:t>
      </w:r>
      <w:r>
        <w:rPr>
          <w:rFonts w:ascii="HelveticaNeue-ThinCond" w:hAnsi="HelveticaNeue-ThinCond"/>
          <w:color w:val="0000FF"/>
          <w:sz w:val="24"/>
          <w:szCs w:val="24"/>
        </w:rPr>
        <w:t xml:space="preserve"> ➜ </w:t>
      </w:r>
      <w:r>
        <w:rPr>
          <w:rFonts w:ascii="sans-serif" w:hAnsi="sans-serif"/>
          <w:color w:val="0000FF"/>
          <w:sz w:val="24"/>
          <w:szCs w:val="24"/>
        </w:rPr>
        <w:t>Mise en service du centre de tri et de transfert de La Rampinsolle (site modernisé en 2011 et 2016) ; Mise en service des centres de transfert de Cussac et Dussac</w:t>
      </w:r>
      <w:r>
        <w:rPr>
          <w:rFonts w:ascii="HelveticaNeue-ThinCond" w:hAnsi="HelveticaNeue-ThinCond"/>
          <w:color w:val="0000FF"/>
          <w:sz w:val="24"/>
          <w:szCs w:val="24"/>
        </w:rPr>
        <w:br/>
      </w:r>
      <w:r>
        <w:rPr>
          <w:rFonts w:ascii="sans-serif" w:hAnsi="sans-serif"/>
          <w:color w:val="0000FF"/>
          <w:sz w:val="24"/>
          <w:szCs w:val="24"/>
        </w:rPr>
        <w:t>2002</w:t>
      </w:r>
      <w:r>
        <w:rPr>
          <w:rFonts w:ascii="HelveticaNeue-ThinCond" w:hAnsi="HelveticaNeue-ThinCond"/>
          <w:color w:val="0000FF"/>
          <w:sz w:val="24"/>
          <w:szCs w:val="24"/>
        </w:rPr>
        <w:t xml:space="preserve"> ➜ </w:t>
      </w:r>
      <w:r>
        <w:rPr>
          <w:rFonts w:ascii="sans-serif" w:hAnsi="sans-serif"/>
          <w:color w:val="0000FF"/>
          <w:sz w:val="24"/>
          <w:szCs w:val="24"/>
        </w:rPr>
        <w:t>Mise en service de l’ISDND de Saint-Laurent-des-Hommes</w:t>
      </w:r>
      <w:r>
        <w:rPr>
          <w:rFonts w:ascii="HelveticaNeue-ThinCond" w:hAnsi="HelveticaNeue-ThinCond"/>
          <w:color w:val="0000FF"/>
          <w:sz w:val="24"/>
          <w:szCs w:val="24"/>
        </w:rPr>
        <w:br/>
      </w:r>
      <w:r>
        <w:rPr>
          <w:rFonts w:ascii="sans-serif" w:hAnsi="sans-serif"/>
          <w:color w:val="0000FF"/>
          <w:sz w:val="24"/>
          <w:szCs w:val="24"/>
        </w:rPr>
        <w:t>2003</w:t>
      </w:r>
      <w:r>
        <w:rPr>
          <w:rFonts w:ascii="HelveticaNeue-ThinCond" w:hAnsi="HelveticaNeue-ThinCond"/>
          <w:color w:val="0000FF"/>
          <w:sz w:val="24"/>
          <w:szCs w:val="24"/>
        </w:rPr>
        <w:t xml:space="preserve"> ➜ </w:t>
      </w:r>
      <w:r>
        <w:rPr>
          <w:rFonts w:ascii="sans-serif" w:hAnsi="sans-serif"/>
          <w:color w:val="0000FF"/>
          <w:sz w:val="24"/>
          <w:szCs w:val="24"/>
        </w:rPr>
        <w:t>Mise en service du centre de transfert de Saint-Front-sur-Nizonne</w:t>
      </w:r>
      <w:r>
        <w:rPr>
          <w:rFonts w:ascii="HelveticaNeue-ThinCond" w:hAnsi="HelveticaNeue-ThinCond"/>
          <w:color w:val="0000FF"/>
          <w:sz w:val="24"/>
          <w:szCs w:val="24"/>
        </w:rPr>
        <w:br/>
      </w:r>
      <w:r>
        <w:rPr>
          <w:rFonts w:ascii="sans-serif" w:hAnsi="sans-serif"/>
          <w:color w:val="0000FF"/>
          <w:sz w:val="24"/>
          <w:szCs w:val="24"/>
        </w:rPr>
        <w:t>2008</w:t>
      </w:r>
      <w:r>
        <w:rPr>
          <w:rFonts w:ascii="HelveticaNeue-ThinCond" w:hAnsi="HelveticaNeue-ThinCond"/>
          <w:color w:val="0000FF"/>
          <w:sz w:val="24"/>
          <w:szCs w:val="24"/>
        </w:rPr>
        <w:t xml:space="preserve"> ➜ </w:t>
      </w:r>
      <w:r>
        <w:rPr>
          <w:rFonts w:ascii="sans-serif" w:hAnsi="sans-serif"/>
          <w:color w:val="0000FF"/>
          <w:sz w:val="24"/>
          <w:szCs w:val="24"/>
        </w:rPr>
        <w:t>Mise en service du centre de transfert de Bergerac</w:t>
      </w:r>
      <w:r>
        <w:rPr>
          <w:rFonts w:ascii="HelveticaNeue-ThinCond" w:hAnsi="HelveticaNeue-ThinCond"/>
          <w:color w:val="0000FF"/>
          <w:sz w:val="24"/>
          <w:szCs w:val="24"/>
        </w:rPr>
        <w:br/>
      </w:r>
      <w:r>
        <w:rPr>
          <w:rFonts w:ascii="sans-serif" w:hAnsi="sans-serif"/>
          <w:color w:val="0000FF"/>
          <w:sz w:val="24"/>
          <w:szCs w:val="24"/>
        </w:rPr>
        <w:t>2012</w:t>
      </w:r>
      <w:r>
        <w:rPr>
          <w:rFonts w:ascii="HelveticaNeue-ThinCond" w:hAnsi="HelveticaNeue-ThinCond"/>
          <w:color w:val="0000FF"/>
          <w:sz w:val="24"/>
          <w:szCs w:val="24"/>
        </w:rPr>
        <w:t xml:space="preserve"> ➜ </w:t>
      </w:r>
      <w:r>
        <w:rPr>
          <w:rFonts w:ascii="sans-serif" w:hAnsi="sans-serif"/>
          <w:color w:val="0000FF"/>
          <w:sz w:val="24"/>
          <w:szCs w:val="24"/>
        </w:rPr>
        <w:t>Mise en service du centre de transfert de Marcillac</w:t>
      </w:r>
      <w:r>
        <w:rPr>
          <w:rFonts w:ascii="HelveticaNeue-ThinCond" w:hAnsi="HelveticaNeue-ThinCond"/>
          <w:color w:val="0000FF"/>
          <w:sz w:val="24"/>
          <w:szCs w:val="24"/>
        </w:rPr>
        <w:br/>
      </w:r>
      <w:r>
        <w:rPr>
          <w:rFonts w:ascii="sans-serif" w:hAnsi="sans-serif"/>
          <w:color w:val="0000FF"/>
          <w:sz w:val="24"/>
          <w:szCs w:val="24"/>
        </w:rPr>
        <w:t>2015</w:t>
      </w:r>
      <w:r>
        <w:rPr>
          <w:rFonts w:ascii="HelveticaNeue-ThinCond" w:hAnsi="HelveticaNeue-ThinCond"/>
          <w:color w:val="0000FF"/>
          <w:sz w:val="24"/>
          <w:szCs w:val="24"/>
        </w:rPr>
        <w:t xml:space="preserve"> ➜ </w:t>
      </w:r>
      <w:r>
        <w:rPr>
          <w:rFonts w:ascii="sans-serif" w:hAnsi="sans-serif"/>
          <w:color w:val="0000FF"/>
          <w:sz w:val="24"/>
          <w:szCs w:val="24"/>
        </w:rPr>
        <w:t>Fusion avec le SMBGD (Syndicat Mixte du Bergeracois pour la Gestion des Déchets) et reprise de la collecte des territoires Portes Sud Périgord et de Bastides Dordogne Périgord</w:t>
      </w:r>
      <w:r>
        <w:rPr>
          <w:rFonts w:ascii="HelveticaNeue-ThinCond" w:hAnsi="HelveticaNeue-ThinCond"/>
          <w:color w:val="0000FF"/>
          <w:sz w:val="50"/>
        </w:rPr>
        <w:br/>
      </w:r>
      <w:r>
        <w:rPr>
          <w:rFonts w:ascii="sans-serif" w:hAnsi="sans-serif"/>
          <w:color w:val="0000FF"/>
          <w:sz w:val="24"/>
          <w:szCs w:val="24"/>
        </w:rPr>
        <w:t>2017</w:t>
      </w:r>
      <w:r>
        <w:rPr>
          <w:rFonts w:ascii="HelveticaNeue-ThinCond" w:hAnsi="HelveticaNeue-ThinCond"/>
          <w:color w:val="0000FF"/>
          <w:sz w:val="24"/>
          <w:szCs w:val="24"/>
        </w:rPr>
        <w:t xml:space="preserve"> ➜ </w:t>
      </w:r>
      <w:r>
        <w:rPr>
          <w:rFonts w:ascii="sans-serif" w:hAnsi="sans-serif"/>
          <w:color w:val="0000FF"/>
          <w:sz w:val="24"/>
          <w:szCs w:val="24"/>
        </w:rPr>
        <w:t>Fusion avec le SMCTOM Montpon - Mussidan et reprise de la collecte sur ce territoire</w:t>
      </w:r>
      <w:r>
        <w:rPr>
          <w:rFonts w:ascii="HelveticaNeue-ThinCond" w:hAnsi="HelveticaNeue-ThinCond"/>
          <w:color w:val="FF8A86"/>
          <w:sz w:val="24"/>
          <w:szCs w:val="24"/>
        </w:rPr>
        <w:t xml:space="preserve"> </w:t>
      </w:r>
    </w:p>
    <w:p>
      <w:pPr>
        <w:pStyle w:val="Normal"/>
        <w:bidi w:val="0"/>
        <w:jc w:val="left"/>
        <w:rPr>
          <w:color w:val="0000FF"/>
          <w:sz w:val="24"/>
          <w:szCs w:val="24"/>
        </w:rPr>
      </w:pPr>
      <w:r>
        <w:rPr>
          <w:rFonts w:ascii="sans-serif" w:hAnsi="sans-serif"/>
          <w:b w:val="false"/>
          <w:bCs w:val="false"/>
          <w:color w:val="0000FF"/>
          <w:sz w:val="24"/>
          <w:szCs w:val="24"/>
        </w:rPr>
        <w:t>201</w:t>
      </w:r>
      <w:r>
        <w:rPr>
          <w:rFonts w:ascii="sans-serif" w:hAnsi="sans-serif"/>
          <w:b w:val="false"/>
          <w:bCs w:val="false"/>
          <w:color w:val="0000FF"/>
          <w:sz w:val="24"/>
          <w:szCs w:val="24"/>
        </w:rPr>
        <w:t>8</w:t>
      </w:r>
      <w:r>
        <w:rPr>
          <w:rFonts w:ascii="GillSans-SemiBold" w:hAnsi="GillSans-SemiBold"/>
          <w:b/>
          <w:bCs/>
          <w:color w:val="0000FF"/>
          <w:sz w:val="28"/>
          <w:szCs w:val="28"/>
        </w:rPr>
        <w:t xml:space="preserve"> </w:t>
      </w:r>
      <w:r>
        <w:rPr>
          <w:rFonts w:ascii="Wingdings3" w:hAnsi="Wingdings3"/>
          <w:color w:val="0000FF"/>
          <w:sz w:val="28"/>
          <w:szCs w:val="28"/>
        </w:rPr>
        <w:t>→</w:t>
      </w:r>
      <w:r>
        <w:rPr>
          <w:rFonts w:ascii="Wingdings3" w:hAnsi="Wingdings3"/>
          <w:color w:val="0000FF"/>
          <w:sz w:val="24"/>
          <w:szCs w:val="24"/>
        </w:rPr>
        <w:t xml:space="preserve"> </w:t>
      </w:r>
      <w:r>
        <w:rPr>
          <w:rFonts w:ascii="GillSans" w:hAnsi="GillSans"/>
          <w:color w:val="0000FF"/>
          <w:sz w:val="24"/>
          <w:szCs w:val="24"/>
        </w:rPr>
        <w:t>Mutualisation des compétences Communication et Ressources Humaines avec le SYGED</w:t>
      </w:r>
    </w:p>
    <w:p>
      <w:pPr>
        <w:pStyle w:val="Normal"/>
        <w:bidi w:val="0"/>
        <w:jc w:val="left"/>
        <w:rPr/>
      </w:pPr>
      <w:r>
        <w:rPr>
          <w:rFonts w:ascii="GillSans" w:hAnsi="GillSans"/>
          <w:color w:val="0000FF"/>
          <w:sz w:val="24"/>
          <w:szCs w:val="24"/>
        </w:rPr>
        <w:t xml:space="preserve">             </w:t>
      </w:r>
      <w:r>
        <w:rPr>
          <w:rFonts w:ascii="GillSans" w:hAnsi="GillSans"/>
          <w:color w:val="0000FF"/>
          <w:sz w:val="18"/>
          <w:szCs w:val="18"/>
        </w:rPr>
        <w:t xml:space="preserve">  </w:t>
      </w:r>
      <w:r>
        <w:rPr>
          <w:rFonts w:ascii="GillSans" w:hAnsi="GillSans"/>
          <w:color w:val="FF0000"/>
          <w:sz w:val="18"/>
          <w:szCs w:val="18"/>
        </w:rPr>
        <w:t xml:space="preserve"> </w:t>
      </w:r>
      <w:r>
        <w:rPr>
          <w:rFonts w:ascii="GillSans" w:hAnsi="GillSans"/>
          <w:color w:val="FF0000"/>
          <w:sz w:val="18"/>
          <w:szCs w:val="18"/>
        </w:rPr>
        <w:t>juillet </w:t>
      </w:r>
      <w:r>
        <w:rPr>
          <w:rFonts w:ascii="GillSans" w:hAnsi="GillSans"/>
          <w:color w:val="FF0000"/>
          <w:sz w:val="18"/>
          <w:szCs w:val="18"/>
        </w:rPr>
        <w:t xml:space="preserve">et octobre </w:t>
      </w:r>
      <w:r>
        <w:rPr>
          <w:rFonts w:ascii="GillSans" w:hAnsi="GillSans"/>
          <w:color w:val="FF0000"/>
          <w:sz w:val="18"/>
          <w:szCs w:val="18"/>
        </w:rPr>
        <w:t>:</w:t>
      </w:r>
      <w:r>
        <w:rPr>
          <w:rFonts w:ascii="GillSans" w:hAnsi="GillSans"/>
          <w:color w:val="FF0000"/>
          <w:sz w:val="24"/>
          <w:szCs w:val="24"/>
        </w:rPr>
        <w:t xml:space="preserve"> </w:t>
      </w:r>
      <w:r>
        <w:rPr>
          <w:rFonts w:ascii="GillSans" w:hAnsi="GillSans"/>
          <w:color w:val="FF0000"/>
          <w:sz w:val="18"/>
        </w:rPr>
        <w:t>D</w:t>
      </w:r>
      <w:r>
        <w:rPr>
          <w:rFonts w:ascii="GillSans" w:hAnsi="GillSans"/>
          <w:color w:val="FF0000"/>
          <w:sz w:val="18"/>
        </w:rPr>
        <w:t xml:space="preserve">élibération de mise en oeuvre de la Redevance Incitative dès 2021 et fin de la </w:t>
      </w:r>
      <w:r>
        <w:rPr>
          <w:rFonts w:ascii="GillSans" w:hAnsi="GillSans"/>
          <w:color w:val="FF0000"/>
          <w:sz w:val="18"/>
          <w:szCs w:val="24"/>
        </w:rPr>
        <w:t>tarification unique</w:t>
      </w:r>
    </w:p>
    <w:p>
      <w:pPr>
        <w:pStyle w:val="Normal"/>
        <w:bidi w:val="0"/>
        <w:jc w:val="left"/>
        <w:rPr/>
      </w:pPr>
      <w:r>
        <w:rPr>
          <w:rFonts w:ascii="sans-serif" w:hAnsi="sans-serif"/>
          <w:b w:val="false"/>
          <w:bCs w:val="false"/>
          <w:color w:val="0000FF"/>
          <w:sz w:val="24"/>
          <w:szCs w:val="24"/>
        </w:rPr>
        <w:t>201</w:t>
      </w:r>
      <w:r>
        <w:rPr>
          <w:rFonts w:ascii="sans-serif" w:hAnsi="sans-serif"/>
          <w:b w:val="false"/>
          <w:bCs w:val="false"/>
          <w:color w:val="0000FF"/>
          <w:sz w:val="24"/>
          <w:szCs w:val="24"/>
        </w:rPr>
        <w:t>9</w:t>
      </w:r>
      <w:r>
        <w:rPr>
          <w:rFonts w:ascii="GillSans" w:hAnsi="GillSans"/>
          <w:color w:val="0000FF"/>
          <w:sz w:val="24"/>
          <w:szCs w:val="24"/>
        </w:rPr>
        <w:t xml:space="preserve"> </w:t>
      </w:r>
      <w:r>
        <w:rPr>
          <w:rFonts w:ascii="GillSans" w:hAnsi="GillSans"/>
          <w:b/>
          <w:bCs/>
          <w:color w:val="0000FF"/>
          <w:sz w:val="28"/>
          <w:szCs w:val="28"/>
        </w:rPr>
        <w:t>→</w:t>
      </w:r>
      <w:r>
        <w:rPr>
          <w:rFonts w:ascii="GillSans" w:hAnsi="GillSans"/>
          <w:color w:val="0000FF"/>
          <w:sz w:val="24"/>
          <w:szCs w:val="24"/>
        </w:rPr>
        <w:t xml:space="preserve"> </w:t>
      </w:r>
      <w:r>
        <w:rPr>
          <w:rFonts w:ascii="Barlow-Regular" w:hAnsi="Barlow-Regular"/>
          <w:color w:val="0000FF"/>
          <w:sz w:val="24"/>
          <w:szCs w:val="24"/>
        </w:rPr>
        <w:t xml:space="preserve">Absorption du SYGED qui est devenu le secteur IV • Transfert des compétences gestion des déchèteries et animation de la Communauté d’Agglomération du Grand Périgueux • Reprise en régie directe de l’exploitation du </w:t>
      </w:r>
      <w:r>
        <w:rPr>
          <w:rFonts w:ascii="Barlow-Regular" w:hAnsi="Barlow-Regular"/>
          <w:color w:val="0000FF"/>
          <w:sz w:val="24"/>
          <w:szCs w:val="24"/>
        </w:rPr>
        <w:t>centre de tri de Marcillac-Saint-Quentin</w:t>
      </w:r>
    </w:p>
    <w:p>
      <w:pPr>
        <w:pStyle w:val="Normal"/>
        <w:bidi w:val="0"/>
        <w:jc w:val="left"/>
        <w:rPr/>
      </w:pPr>
      <w:r>
        <w:rPr>
          <w:rFonts w:ascii="Barlow-Regular" w:hAnsi="Barlow-Regular"/>
          <w:color w:val="0000FF"/>
          <w:sz w:val="24"/>
          <w:szCs w:val="24"/>
        </w:rPr>
        <w:tab/>
      </w:r>
      <w:r>
        <w:rPr>
          <w:rFonts w:ascii="TitilliumWeb-Bold" w:hAnsi="TitilliumWeb-Bold"/>
          <w:b/>
          <w:color w:val="FFFFFF"/>
          <w:sz w:val="18"/>
          <w:szCs w:val="24"/>
        </w:rPr>
        <w:t>LA</w:t>
      </w:r>
      <w:r>
        <w:rPr>
          <w:rFonts w:ascii="TitilliumWeb-Bold" w:hAnsi="TitilliumWeb-Bold"/>
          <w:b/>
          <w:color w:val="FFFFFF"/>
          <w:sz w:val="16"/>
          <w:szCs w:val="16"/>
        </w:rPr>
        <w:t xml:space="preserve"> </w:t>
      </w:r>
      <w:r>
        <w:rPr>
          <w:rFonts w:ascii="TitilliumWeb-Bold" w:hAnsi="TitilliumWeb-Bold"/>
          <w:b w:val="false"/>
          <w:bCs w:val="false"/>
          <w:color w:val="FF0000"/>
          <w:sz w:val="16"/>
          <w:szCs w:val="16"/>
        </w:rPr>
        <w:t>cr</w:t>
      </w:r>
      <w:r>
        <w:rPr>
          <w:rFonts w:ascii="TitilliumWeb-Bold" w:hAnsi="TitilliumWeb-Bold"/>
          <w:b w:val="false"/>
          <w:bCs w:val="false"/>
          <w:color w:val="FF0000"/>
          <w:sz w:val="16"/>
          <w:szCs w:val="16"/>
        </w:rPr>
        <w:t>é</w:t>
      </w:r>
      <w:r>
        <w:rPr>
          <w:rFonts w:ascii="TitilliumWeb-Bold" w:hAnsi="TitilliumWeb-Bold"/>
          <w:b w:val="false"/>
          <w:bCs w:val="false"/>
          <w:color w:val="FF0000"/>
          <w:sz w:val="16"/>
          <w:szCs w:val="16"/>
        </w:rPr>
        <w:t>ation du service relation aux usagers (</w:t>
      </w:r>
      <w:r>
        <w:rPr>
          <w:rFonts w:ascii="Barlow-Bold" w:hAnsi="Barlow-Bold"/>
          <w:b/>
          <w:bCs w:val="false"/>
          <w:color w:val="A55EA3"/>
          <w:sz w:val="16"/>
          <w:szCs w:val="16"/>
        </w:rPr>
        <w:t xml:space="preserve">74 </w:t>
      </w:r>
      <w:r>
        <w:rPr>
          <w:rFonts w:ascii="Barlow-Regular" w:hAnsi="Barlow-Regular"/>
          <w:color w:val="000000"/>
          <w:sz w:val="16"/>
          <w:szCs w:val="16"/>
        </w:rPr>
        <w:t xml:space="preserve">enquêteurs dont </w:t>
      </w:r>
      <w:r>
        <w:rPr>
          <w:rFonts w:ascii="Barlow-Bold" w:hAnsi="Barlow-Bold"/>
          <w:b/>
          <w:color w:val="A55EA3"/>
          <w:sz w:val="16"/>
          <w:szCs w:val="16"/>
        </w:rPr>
        <w:t xml:space="preserve">5 </w:t>
      </w:r>
      <w:r>
        <w:rPr>
          <w:rFonts w:ascii="Barlow-Regular" w:hAnsi="Barlow-Regular"/>
          <w:color w:val="000000"/>
          <w:sz w:val="16"/>
          <w:szCs w:val="16"/>
        </w:rPr>
        <w:t>chefs d’équipe</w:t>
      </w:r>
      <w:r>
        <w:rPr>
          <w:rFonts w:ascii="TitilliumWeb-Bold" w:hAnsi="TitilliumWeb-Bold"/>
          <w:b w:val="false"/>
          <w:bCs w:val="false"/>
          <w:color w:val="FF0000"/>
          <w:sz w:val="16"/>
          <w:szCs w:val="16"/>
        </w:rPr>
        <w:t xml:space="preserve"> → constituer le fichier usagers ; communication et animation de proximité ; </w:t>
      </w:r>
      <w:r>
        <w:rPr>
          <w:rFonts w:ascii="TitilliumWeb-Bold" w:hAnsi="TitilliumWeb-Bold"/>
          <w:b w:val="false"/>
          <w:bCs w:val="false"/>
          <w:color w:val="FF0000"/>
          <w:sz w:val="16"/>
          <w:szCs w:val="16"/>
        </w:rPr>
        <w:t xml:space="preserve">des outils modernisés et connectés pour une collecte optimisée </w:t>
      </w:r>
      <w:r>
        <w:rPr>
          <w:rFonts w:ascii="TitilliumWeb-Bold" w:hAnsi="TitilliumWeb-Bold"/>
          <w:b w:val="false"/>
          <w:bCs w:val="false"/>
          <w:color w:val="FF0000"/>
          <w:sz w:val="16"/>
          <w:szCs w:val="16"/>
        </w:rPr>
        <w:t>(?)</w:t>
      </w:r>
      <w:r>
        <w:rPr>
          <w:rFonts w:ascii="TitilliumWeb-Bold" w:hAnsi="TitilliumWeb-Bold"/>
          <w:b w:val="false"/>
          <w:bCs w:val="false"/>
          <w:color w:val="FFFFFF"/>
          <w:sz w:val="16"/>
          <w:szCs w:val="16"/>
        </w:rPr>
        <w:t>n</w:t>
        <w:tab/>
        <w:t>comc</w:t>
        <w:tab/>
        <w:tab/>
        <w:t>col</w:t>
      </w:r>
      <w:r>
        <w:rPr>
          <w:rFonts w:ascii="TitilliumWeb-Bold" w:hAnsi="TitilliumWeb-Bold"/>
          <w:b w:val="false"/>
          <w:bCs w:val="false"/>
          <w:color w:val="FFFFFF"/>
          <w:sz w:val="18"/>
          <w:szCs w:val="24"/>
        </w:rPr>
        <w:t>uer</w:t>
      </w:r>
      <w:r>
        <w:rPr>
          <w:rFonts w:ascii="Barlow-Regular" w:hAnsi="Barlow-Regular"/>
          <w:b w:val="false"/>
          <w:bCs w:val="false"/>
          <w:color w:val="FFFFFF"/>
          <w:sz w:val="18"/>
          <w:szCs w:val="24"/>
        </w:rPr>
        <w:t>onstituer l</w:t>
      </w:r>
    </w:p>
    <w:p>
      <w:pPr>
        <w:pStyle w:val="Normal"/>
        <w:bidi w:val="0"/>
        <w:jc w:val="left"/>
        <w:rPr/>
      </w:pPr>
      <w:r>
        <w:rPr>
          <w:rFonts w:ascii="sans-serif" w:hAnsi="sans-serif"/>
          <w:b w:val="false"/>
          <w:bCs w:val="false"/>
          <w:color w:val="0000FF"/>
          <w:sz w:val="24"/>
          <w:szCs w:val="24"/>
        </w:rPr>
        <w:t>20</w:t>
      </w:r>
      <w:r>
        <w:rPr>
          <w:rFonts w:ascii="sans-serif" w:hAnsi="sans-serif"/>
          <w:b w:val="false"/>
          <w:bCs w:val="false"/>
          <w:color w:val="0000FF"/>
          <w:sz w:val="24"/>
          <w:szCs w:val="24"/>
        </w:rPr>
        <w:t>20</w:t>
      </w:r>
      <w:r>
        <w:rPr>
          <w:rFonts w:ascii="GillSans" w:hAnsi="GillSans"/>
          <w:b w:val="false"/>
          <w:bCs w:val="false"/>
          <w:color w:val="0000FF"/>
          <w:sz w:val="24"/>
          <w:szCs w:val="24"/>
        </w:rPr>
        <w:t xml:space="preserve"> </w:t>
      </w:r>
      <w:r>
        <w:rPr>
          <w:rFonts w:ascii="GillSans" w:hAnsi="GillSans"/>
          <w:b/>
          <w:bCs/>
          <w:color w:val="0000FF"/>
          <w:sz w:val="28"/>
          <w:szCs w:val="28"/>
        </w:rPr>
        <w:t xml:space="preserve">→ </w:t>
      </w:r>
      <w:r>
        <w:rPr>
          <w:rFonts w:ascii="GillSans" w:hAnsi="GillSans"/>
          <w:b w:val="false"/>
          <w:bCs w:val="false"/>
          <w:color w:val="0000FF"/>
          <w:sz w:val="24"/>
          <w:szCs w:val="24"/>
        </w:rPr>
        <w:t xml:space="preserve"> </w:t>
      </w:r>
      <w:r>
        <w:rPr>
          <w:rFonts w:ascii="GillSans" w:hAnsi="GillSans"/>
          <w:b w:val="false"/>
          <w:bCs w:val="false"/>
          <w:color w:val="0000FF"/>
          <w:sz w:val="24"/>
          <w:szCs w:val="24"/>
        </w:rPr>
        <w:t xml:space="preserve">prise de fct° de Protano ; </w:t>
      </w:r>
      <w:r>
        <w:rPr>
          <w:rFonts w:ascii="Aleo-Regular" w:hAnsi="Aleo-Regular"/>
          <w:b w:val="false"/>
          <w:bCs w:val="false"/>
          <w:color w:val="0000FF"/>
          <w:sz w:val="24"/>
          <w:szCs w:val="24"/>
        </w:rPr>
        <w:t>déploiement des points d</w:t>
      </w:r>
      <w:r>
        <w:rPr>
          <w:rFonts w:ascii="Aleo-Regular" w:hAnsi="Aleo-Regular"/>
          <w:color w:val="0000FF"/>
          <w:sz w:val="24"/>
          <w:szCs w:val="24"/>
        </w:rPr>
        <w:t xml:space="preserve">’apport volontaire ; intégration du SMCTOM de Ribérac au sein du SMD3 ; </w:t>
      </w:r>
      <w:r>
        <w:rPr>
          <w:rFonts w:ascii="Aleo-Regular" w:hAnsi="Aleo-Regular"/>
          <w:color w:val="0000FF"/>
          <w:sz w:val="24"/>
          <w:szCs w:val="24"/>
        </w:rPr>
        <w:t>2</w:t>
      </w:r>
      <w:r>
        <w:rPr>
          <w:rFonts w:ascii="Aleo-Regular" w:hAnsi="Aleo-Regular"/>
          <w:color w:val="0000FF"/>
          <w:sz w:val="24"/>
          <w:szCs w:val="24"/>
          <w:vertAlign w:val="superscript"/>
        </w:rPr>
        <w:t>e</w:t>
      </w:r>
      <w:r>
        <w:rPr>
          <w:rFonts w:ascii="Aleo-Regular" w:hAnsi="Aleo-Regular"/>
          <w:color w:val="0000FF"/>
          <w:sz w:val="24"/>
          <w:szCs w:val="24"/>
        </w:rPr>
        <w:t xml:space="preserve"> vague d'enquête </w:t>
      </w:r>
      <w:r>
        <w:rPr>
          <w:rFonts w:ascii="Aleo-Regular" w:hAnsi="Aleo-Regular"/>
          <w:color w:val="0000FF"/>
          <w:sz w:val="13"/>
          <w:szCs w:val="13"/>
        </w:rPr>
        <w:t>(</w:t>
      </w:r>
      <w:r>
        <w:rPr>
          <w:rFonts w:ascii="Aleo-Regular" w:hAnsi="Aleo-Regular"/>
          <w:color w:val="0000FF"/>
          <w:sz w:val="13"/>
          <w:szCs w:val="13"/>
        </w:rPr>
        <w:t xml:space="preserve">Ribérac, et les Communautés de Communes Isle Vern Salembre, Dronne et Belle, Isle Loue Auvezère, </w:t>
      </w:r>
      <w:r>
        <w:rPr>
          <w:rFonts w:ascii="Aleo-Regular" w:hAnsi="Aleo-Regular"/>
          <w:color w:val="0000FF"/>
          <w:sz w:val="13"/>
          <w:szCs w:val="13"/>
        </w:rPr>
        <w:t>Thenon)</w:t>
      </w:r>
      <w:r>
        <w:rPr>
          <w:rFonts w:ascii="Aleo-Regular" w:hAnsi="Aleo-Regular"/>
          <w:color w:val="0000FF"/>
          <w:sz w:val="13"/>
          <w:szCs w:val="13"/>
        </w:rPr>
        <w:t xml:space="preserve"> </w:t>
      </w:r>
      <w:r>
        <w:rPr>
          <w:rFonts w:ascii="TitilliumWeb-Bold" w:hAnsi="TitilliumWeb-Bold"/>
          <w:b/>
          <w:color w:val="FFFFFF"/>
          <w:sz w:val="12"/>
          <w:szCs w:val="12"/>
        </w:rPr>
        <w:t xml:space="preserve">E </w:t>
      </w:r>
      <w:r>
        <w:rPr>
          <w:rFonts w:ascii="sans-serif" w:hAnsi="sans-serif"/>
          <w:b w:val="false"/>
          <w:bCs w:val="false"/>
          <w:color w:val="0000FF"/>
          <w:sz w:val="24"/>
          <w:szCs w:val="24"/>
        </w:rPr>
        <w:t>20</w:t>
      </w:r>
      <w:r>
        <w:rPr>
          <w:rFonts w:ascii="sans-serif" w:hAnsi="sans-serif"/>
          <w:b w:val="false"/>
          <w:bCs w:val="false"/>
          <w:color w:val="0000FF"/>
          <w:sz w:val="24"/>
          <w:szCs w:val="24"/>
        </w:rPr>
        <w:t>21</w:t>
      </w:r>
      <w:r>
        <w:rPr>
          <w:rFonts w:ascii="GillSans" w:hAnsi="GillSans"/>
          <w:b w:val="false"/>
          <w:bCs w:val="false"/>
          <w:color w:val="0000FF"/>
          <w:sz w:val="24"/>
          <w:szCs w:val="24"/>
        </w:rPr>
        <w:t xml:space="preserve"> </w:t>
      </w:r>
      <w:r>
        <w:rPr>
          <w:rFonts w:ascii="Aleo-Regular" w:hAnsi="Aleo-Regular"/>
          <w:b w:val="false"/>
          <w:bCs w:val="false"/>
          <w:color w:val="0000FF"/>
          <w:sz w:val="24"/>
          <w:szCs w:val="24"/>
        </w:rPr>
        <w:t>transfert de la compétence collecte du Grand Périgueux</w:t>
      </w:r>
      <w:r>
        <w:rPr>
          <w:rFonts w:ascii="Aleo-Regular" w:hAnsi="Aleo-Regular"/>
          <w:b w:val="false"/>
          <w:bCs w:val="false"/>
          <w:color w:val="0000FF"/>
          <w:sz w:val="18"/>
          <w:szCs w:val="24"/>
        </w:rPr>
        <w:t xml:space="preserve"> </w:t>
      </w:r>
      <w:r>
        <w:rPr>
          <w:rFonts w:ascii="Aleo-Regular" w:hAnsi="Aleo-Regular"/>
          <w:b w:val="false"/>
          <w:bCs w:val="false"/>
          <w:color w:val="0000FF"/>
          <w:sz w:val="18"/>
          <w:szCs w:val="24"/>
        </w:rPr>
        <w:t xml:space="preserve"> </w:t>
      </w:r>
      <w:r>
        <w:rPr>
          <w:rFonts w:ascii="Aleo-Regular" w:hAnsi="Aleo-Regular"/>
          <w:b w:val="false"/>
          <w:bCs w:val="false"/>
          <w:color w:val="0000FF"/>
          <w:sz w:val="24"/>
          <w:szCs w:val="24"/>
        </w:rPr>
        <w:t xml:space="preserve">et </w:t>
      </w:r>
      <w:r>
        <w:rPr>
          <w:rFonts w:ascii="Aleo-Regular" w:hAnsi="Aleo-Regular"/>
          <w:color w:val="0000FF"/>
          <w:sz w:val="24"/>
          <w:szCs w:val="24"/>
        </w:rPr>
        <w:t xml:space="preserve">la Communauté de Communes Isle Vern Salembre </w:t>
      </w:r>
      <w:r>
        <w:rPr>
          <w:rFonts w:ascii="Aleo-Regular" w:hAnsi="Aleo-Regular"/>
          <w:b w:val="false"/>
          <w:bCs w:val="false"/>
          <w:color w:val="0000FF"/>
          <w:sz w:val="18"/>
          <w:szCs w:val="24"/>
        </w:rPr>
        <w:t>(juillet 2021)</w:t>
      </w:r>
      <w:r>
        <w:rPr>
          <w:rFonts w:ascii="TitilliumWeb-Bold" w:hAnsi="TitilliumWeb-Bold"/>
          <w:b w:val="false"/>
          <w:bCs w:val="false"/>
          <w:color w:val="FFFFFF"/>
          <w:sz w:val="24"/>
          <w:szCs w:val="24"/>
        </w:rPr>
        <w:t>E</w:t>
      </w:r>
    </w:p>
    <w:p>
      <w:pPr>
        <w:pStyle w:val="Normal"/>
        <w:bidi w:val="0"/>
        <w:jc w:val="left"/>
        <w:rPr/>
      </w:pPr>
      <w:r>
        <w:rPr>
          <w:rFonts w:ascii="sans-serif" w:hAnsi="sans-serif"/>
          <w:b w:val="false"/>
          <w:bCs w:val="false"/>
          <w:color w:val="0000FF"/>
          <w:sz w:val="24"/>
          <w:szCs w:val="24"/>
        </w:rPr>
        <w:t>20</w:t>
      </w:r>
      <w:r>
        <w:rPr>
          <w:rFonts w:ascii="sans-serif" w:hAnsi="sans-serif"/>
          <w:b w:val="false"/>
          <w:bCs w:val="false"/>
          <w:color w:val="0000FF"/>
          <w:sz w:val="24"/>
          <w:szCs w:val="24"/>
        </w:rPr>
        <w:t>2</w:t>
      </w:r>
      <w:r>
        <w:rPr>
          <w:rFonts w:ascii="sans-serif" w:hAnsi="sans-serif"/>
          <w:b w:val="false"/>
          <w:bCs w:val="false"/>
          <w:color w:val="0000FF"/>
          <w:sz w:val="24"/>
          <w:szCs w:val="24"/>
        </w:rPr>
        <w:t xml:space="preserve">2 </w:t>
      </w:r>
      <w:r>
        <w:rPr>
          <w:rFonts w:ascii="GillSans" w:hAnsi="GillSans"/>
          <w:b/>
          <w:bCs/>
          <w:color w:val="0000FF"/>
          <w:sz w:val="28"/>
          <w:szCs w:val="28"/>
        </w:rPr>
        <w:t>→</w:t>
      </w:r>
      <w:r>
        <w:rPr>
          <w:rFonts w:ascii="sans-serif" w:hAnsi="sans-serif"/>
          <w:b/>
          <w:bCs/>
          <w:color w:val="0000FF"/>
          <w:sz w:val="28"/>
          <w:szCs w:val="28"/>
        </w:rPr>
        <w:t xml:space="preserve"> </w:t>
      </w:r>
      <w:r>
        <w:rPr>
          <w:rFonts w:ascii="sans-serif" w:hAnsi="sans-serif"/>
          <w:b w:val="false"/>
          <w:bCs w:val="false"/>
          <w:color w:val="0000FF"/>
          <w:sz w:val="24"/>
          <w:szCs w:val="24"/>
        </w:rPr>
        <w:t xml:space="preserve"> </w:t>
      </w:r>
      <w:r>
        <w:rPr>
          <w:rFonts w:ascii="Aleo-Regular" w:hAnsi="Aleo-Regular"/>
          <w:b w:val="false"/>
          <w:bCs w:val="false"/>
          <w:color w:val="0000FF"/>
          <w:sz w:val="24"/>
          <w:szCs w:val="24"/>
        </w:rPr>
        <w:t>Installation des derniers points d</w:t>
      </w:r>
      <w:r>
        <w:rPr>
          <w:rFonts w:ascii="Aleo-Regular" w:hAnsi="Aleo-Regular"/>
          <w:color w:val="0000FF"/>
          <w:sz w:val="24"/>
          <w:szCs w:val="24"/>
        </w:rPr>
        <w:t xml:space="preserve">’apport volontaire </w:t>
      </w:r>
      <w:r>
        <w:rPr>
          <w:rFonts w:ascii="Aleo-Regular" w:hAnsi="Aleo-Regular"/>
          <w:color w:val="C9211E"/>
          <w:sz w:val="24"/>
          <w:szCs w:val="24"/>
        </w:rPr>
        <w:t>(?)</w:t>
      </w:r>
      <w:r>
        <w:rPr>
          <w:rFonts w:ascii="Aleo-Regular" w:hAnsi="Aleo-Regular"/>
          <w:color w:val="0000FF"/>
          <w:sz w:val="24"/>
          <w:szCs w:val="24"/>
        </w:rPr>
        <w:t xml:space="preserve"> </w:t>
      </w:r>
      <w:r>
        <w:rPr>
          <w:rFonts w:ascii="Aleo-Regular" w:hAnsi="Aleo-Regular"/>
          <w:color w:val="0000FF"/>
          <w:sz w:val="24"/>
          <w:szCs w:val="24"/>
        </w:rPr>
        <w:t xml:space="preserve">en vue du passage en redevance incitative le 1er janvier 2023. Absorption du SMCTOM de Thiviers </w:t>
      </w:r>
      <w:r>
        <w:rPr>
          <w:rFonts w:ascii="Aleo-Bold" w:hAnsi="Aleo-Bold"/>
          <w:b/>
          <w:color w:val="0000FF"/>
          <w:sz w:val="24"/>
          <w:szCs w:val="24"/>
        </w:rPr>
        <w:t xml:space="preserve">• </w:t>
      </w:r>
      <w:r>
        <w:rPr>
          <w:rFonts w:ascii="Aleo-Regular" w:hAnsi="Aleo-Regular"/>
          <w:color w:val="0000FF"/>
          <w:sz w:val="24"/>
          <w:szCs w:val="24"/>
        </w:rPr>
        <w:t>Préparation active du passage en SPIC</w:t>
      </w:r>
    </w:p>
    <w:p>
      <w:pPr>
        <w:pStyle w:val="Normal"/>
        <w:bidi w:val="0"/>
        <w:jc w:val="left"/>
        <w:rPr/>
      </w:pPr>
      <w:r>
        <w:rPr>
          <w:rFonts w:ascii="sans-serif" w:hAnsi="sans-serif"/>
          <w:b w:val="false"/>
          <w:bCs w:val="false"/>
          <w:color w:val="0000FF"/>
          <w:sz w:val="24"/>
          <w:szCs w:val="24"/>
        </w:rPr>
        <w:t>20</w:t>
      </w:r>
      <w:r>
        <w:rPr>
          <w:rFonts w:ascii="sans-serif" w:hAnsi="sans-serif"/>
          <w:b w:val="false"/>
          <w:bCs w:val="false"/>
          <w:color w:val="0000FF"/>
          <w:sz w:val="24"/>
          <w:szCs w:val="24"/>
        </w:rPr>
        <w:t>2</w:t>
      </w:r>
      <w:r>
        <w:rPr>
          <w:rFonts w:ascii="sans-serif" w:hAnsi="sans-serif"/>
          <w:b w:val="false"/>
          <w:bCs w:val="false"/>
          <w:color w:val="0000FF"/>
          <w:sz w:val="24"/>
          <w:szCs w:val="24"/>
        </w:rPr>
        <w:t>3</w:t>
      </w:r>
      <w:r>
        <w:rPr>
          <w:rFonts w:ascii="sans-serif" w:hAnsi="sans-serif"/>
          <w:b w:val="false"/>
          <w:bCs w:val="false"/>
          <w:color w:val="0000FF"/>
          <w:sz w:val="24"/>
          <w:szCs w:val="24"/>
        </w:rPr>
        <w:t xml:space="preserve"> </w:t>
      </w:r>
      <w:r>
        <w:rPr>
          <w:rFonts w:ascii="GillSans" w:hAnsi="GillSans"/>
          <w:b/>
          <w:bCs/>
          <w:color w:val="0000FF"/>
          <w:sz w:val="28"/>
          <w:szCs w:val="28"/>
        </w:rPr>
        <w:t>→ ...</w:t>
      </w:r>
    </w:p>
    <w:p>
      <w:pPr>
        <w:pStyle w:val="Normal"/>
        <w:bidi w:val="0"/>
        <w:jc w:val="left"/>
        <w:rPr>
          <w:rFonts w:ascii="GillSans" w:hAnsi="GillSans"/>
          <w:b/>
          <w:b/>
          <w:bCs/>
          <w:color w:val="0000FF"/>
          <w:sz w:val="28"/>
          <w:szCs w:val="28"/>
        </w:rPr>
      </w:pPr>
      <w:r>
        <w:rPr>
          <w:rFonts w:ascii="GillSans" w:hAnsi="GillSans"/>
          <w:b/>
          <w:bCs/>
          <w:color w:val="0000FF"/>
          <w:sz w:val="28"/>
          <w:szCs w:val="28"/>
        </w:rPr>
      </w:r>
    </w:p>
    <w:p>
      <w:pPr>
        <w:pStyle w:val="Normal"/>
        <w:pBdr>
          <w:bottom w:val="single" w:sz="8" w:space="2" w:color="000000"/>
        </w:pBdr>
        <w:bidi w:val="0"/>
        <w:jc w:val="left"/>
        <w:rPr>
          <w:rFonts w:ascii="Aleo-Regular" w:hAnsi="Aleo-Regular"/>
          <w:color w:val="000000"/>
          <w:sz w:val="18"/>
          <w:szCs w:val="24"/>
        </w:rPr>
      </w:pPr>
      <w:r>
        <w:rPr>
          <w:rFonts w:ascii="Aleo-Regular" w:hAnsi="Aleo-Regular"/>
          <w:color w:val="000000"/>
          <w:sz w:val="18"/>
          <w:szCs w:val="24"/>
        </w:rPr>
      </w:r>
    </w:p>
    <w:p>
      <w:pPr>
        <w:pStyle w:val="Normal"/>
        <w:jc w:val="left"/>
        <w:rPr>
          <w:rFonts w:ascii="HelveticaNeue-ThinCond" w:hAnsi="HelveticaNeue-ThinCond"/>
          <w:color w:val="FF8A86"/>
          <w:sz w:val="50"/>
        </w:rPr>
      </w:pPr>
      <w:r>
        <w:rPr>
          <w:rFonts w:ascii="HelveticaNeue-ThinCond" w:hAnsi="HelveticaNeue-ThinCond"/>
          <w:color w:val="FF8A86"/>
          <w:sz w:val="50"/>
        </w:rPr>
      </w:r>
    </w:p>
    <w:p>
      <w:pPr>
        <w:pStyle w:val="Normal"/>
        <w:jc w:val="left"/>
        <w:rPr/>
      </w:pPr>
      <w:r>
        <w:rPr>
          <w:rFonts w:ascii="HelveticaNeue-ThinCond" w:hAnsi="HelveticaNeue-ThinCond"/>
          <w:color w:val="FF8A86"/>
          <w:sz w:val="50"/>
        </w:rPr>
        <w:t xml:space="preserve">Schéma stratégique du SMD3 </w:t>
      </w:r>
      <w:r>
        <w:rPr>
          <w:rFonts w:ascii="GillSans-SemiBold" w:hAnsi="GillSans-SemiBold"/>
          <w:b/>
          <w:color w:val="000000"/>
          <w:sz w:val="24"/>
        </w:rPr>
        <w:t xml:space="preserve">2017-2025 en application de </w:t>
      </w:r>
      <w:r>
        <w:rPr>
          <w:rFonts w:ascii="GillSans-SemiBold" w:hAnsi="GillSans-SemiBold"/>
          <w:b/>
          <w:color w:val="000000"/>
          <w:sz w:val="24"/>
          <w:szCs w:val="24"/>
        </w:rPr>
        <w:t>la loi sur la transition Énergétique</w:t>
      </w:r>
    </w:p>
    <w:p>
      <w:pPr>
        <w:pStyle w:val="Normal"/>
        <w:jc w:val="left"/>
        <w:rPr>
          <w:sz w:val="22"/>
          <w:szCs w:val="22"/>
        </w:rPr>
      </w:pPr>
      <w:r>
        <w:rPr>
          <w:rFonts w:ascii="GillSans" w:hAnsi="GillSans"/>
          <w:color w:val="000000"/>
          <w:sz w:val="22"/>
          <w:szCs w:val="22"/>
        </w:rPr>
        <w:t xml:space="preserve">Après un an et demi de rencontres et d’échanges entre les élus, les adhérents et les partenaires, le Comité Syndical du SMD3, accompagné par le bureau d’études IDE Environnement et l’ADEME Nouvelle Aquitaine, a validé en </w:t>
      </w:r>
      <w:r>
        <w:rPr>
          <w:rFonts w:ascii="GillSans" w:hAnsi="GillSans"/>
          <w:color w:val="000000"/>
          <w:sz w:val="22"/>
          <w:szCs w:val="22"/>
          <w:u w:val="single"/>
        </w:rPr>
        <w:t>octobre 2017</w:t>
      </w:r>
      <w:r>
        <w:rPr>
          <w:rFonts w:ascii="GillSans" w:hAnsi="GillSans"/>
          <w:color w:val="000000"/>
          <w:sz w:val="22"/>
          <w:szCs w:val="22"/>
          <w:u w:val="none"/>
        </w:rPr>
        <w:t xml:space="preserve"> son</w:t>
      </w:r>
      <w:r>
        <w:rPr>
          <w:rFonts w:ascii="GillSans" w:hAnsi="GillSans"/>
          <w:color w:val="000000"/>
          <w:sz w:val="22"/>
          <w:szCs w:val="22"/>
        </w:rPr>
        <w:t xml:space="preserve"> Schéma Stratégique. Ce schéma définit les orientations politiques du syndicat jusqu’en 2025 et a pour ambition de répondre aux objectifs fixés la Loi de Transition Énergétique pour une Croissance Verte.</w:t>
      </w:r>
    </w:p>
    <w:p>
      <w:pPr>
        <w:pStyle w:val="Normal"/>
        <w:jc w:val="left"/>
        <w:rPr>
          <w:rFonts w:ascii="GillSans" w:hAnsi="GillSans"/>
          <w:color w:val="000000"/>
          <w:sz w:val="22"/>
          <w:szCs w:val="22"/>
        </w:rPr>
      </w:pPr>
      <w:r>
        <w:rPr>
          <w:rFonts w:ascii="GillSans" w:hAnsi="GillSans"/>
          <w:color w:val="000000"/>
          <w:sz w:val="22"/>
          <w:szCs w:val="22"/>
        </w:rPr>
      </w:r>
    </w:p>
    <w:p>
      <w:pPr>
        <w:pStyle w:val="Normal"/>
        <w:bidi w:val="0"/>
        <w:jc w:val="left"/>
        <w:rPr>
          <w:sz w:val="22"/>
          <w:szCs w:val="22"/>
        </w:rPr>
      </w:pPr>
      <w:r>
        <w:rPr>
          <w:rFonts w:ascii="sans-serif" w:hAnsi="sans-serif"/>
          <w:b/>
          <w:bCs/>
          <w:color w:val="000000"/>
          <w:sz w:val="22"/>
          <w:szCs w:val="22"/>
          <w:u w:val="single"/>
        </w:rPr>
        <w:t>Axes de la loi de transition énergétique</w:t>
      </w:r>
      <w:r>
        <w:rPr>
          <w:rFonts w:ascii="GillSans" w:hAnsi="GillSans"/>
          <w:color w:val="000000"/>
          <w:sz w:val="22"/>
          <w:szCs w:val="22"/>
        </w:rPr>
        <w:br/>
        <w:t xml:space="preserve">- </w:t>
      </w:r>
      <w:r>
        <w:rPr>
          <w:rFonts w:ascii="sans-serif" w:hAnsi="sans-serif"/>
          <w:color w:val="000000"/>
          <w:sz w:val="22"/>
          <w:szCs w:val="22"/>
        </w:rPr>
        <w:t>Réduire de</w:t>
      </w:r>
      <w:r>
        <w:rPr>
          <w:rFonts w:ascii="GillSans" w:hAnsi="GillSans"/>
          <w:color w:val="000000"/>
          <w:sz w:val="22"/>
          <w:szCs w:val="22"/>
        </w:rPr>
        <w:t xml:space="preserve"> </w:t>
      </w:r>
      <w:r>
        <w:rPr>
          <w:rFonts w:ascii="sans-serif" w:hAnsi="sans-serif"/>
          <w:color w:val="000000"/>
          <w:sz w:val="22"/>
          <w:szCs w:val="22"/>
        </w:rPr>
        <w:t>30 %</w:t>
      </w:r>
      <w:r>
        <w:rPr>
          <w:rFonts w:ascii="GillSans" w:hAnsi="GillSans"/>
          <w:color w:val="000000"/>
          <w:sz w:val="22"/>
          <w:szCs w:val="22"/>
        </w:rPr>
        <w:t xml:space="preserve"> </w:t>
      </w:r>
      <w:r>
        <w:rPr>
          <w:rFonts w:ascii="sans-serif" w:hAnsi="sans-serif"/>
          <w:color w:val="000000"/>
          <w:sz w:val="22"/>
          <w:szCs w:val="22"/>
        </w:rPr>
        <w:t>l’enfouissement de nos déchets ménagers d’ici</w:t>
      </w:r>
      <w:r>
        <w:rPr>
          <w:rFonts w:ascii="GillSans" w:hAnsi="GillSans"/>
          <w:color w:val="000000"/>
          <w:sz w:val="22"/>
          <w:szCs w:val="22"/>
        </w:rPr>
        <w:t xml:space="preserve"> </w:t>
      </w:r>
      <w:r>
        <w:rPr>
          <w:rFonts w:ascii="sans-serif" w:hAnsi="sans-serif"/>
          <w:color w:val="000000"/>
          <w:sz w:val="22"/>
          <w:szCs w:val="22"/>
        </w:rPr>
        <w:t>2020 par rapport à 2010 et de</w:t>
      </w:r>
      <w:r>
        <w:rPr>
          <w:rFonts w:ascii="GillSans" w:hAnsi="GillSans"/>
          <w:color w:val="000000"/>
          <w:sz w:val="22"/>
          <w:szCs w:val="22"/>
        </w:rPr>
        <w:t xml:space="preserve"> </w:t>
      </w:r>
      <w:r>
        <w:rPr>
          <w:rFonts w:ascii="sans-serif" w:hAnsi="sans-serif"/>
          <w:color w:val="000000"/>
          <w:sz w:val="22"/>
          <w:szCs w:val="22"/>
        </w:rPr>
        <w:t>50 %</w:t>
      </w:r>
      <w:r>
        <w:rPr>
          <w:rFonts w:ascii="GillSans" w:hAnsi="GillSans"/>
          <w:color w:val="000000"/>
          <w:sz w:val="22"/>
          <w:szCs w:val="22"/>
        </w:rPr>
        <w:t xml:space="preserve"> </w:t>
      </w:r>
      <w:r>
        <w:rPr>
          <w:rFonts w:ascii="sans-serif" w:hAnsi="sans-serif"/>
          <w:color w:val="000000"/>
          <w:sz w:val="22"/>
          <w:szCs w:val="22"/>
        </w:rPr>
        <w:t>en 2025</w:t>
      </w:r>
    </w:p>
    <w:p>
      <w:pPr>
        <w:pStyle w:val="Normal"/>
        <w:bidi w:val="0"/>
        <w:jc w:val="left"/>
        <w:rPr>
          <w:sz w:val="22"/>
          <w:szCs w:val="22"/>
        </w:rPr>
      </w:pPr>
      <w:r>
        <w:rPr>
          <w:rFonts w:ascii="GillSans" w:hAnsi="GillSans"/>
          <w:color w:val="000000"/>
          <w:sz w:val="22"/>
          <w:szCs w:val="22"/>
        </w:rPr>
        <w:t xml:space="preserve">- </w:t>
      </w:r>
      <w:r>
        <w:rPr>
          <w:rFonts w:ascii="sans-serif" w:hAnsi="sans-serif"/>
          <w:color w:val="000000"/>
          <w:sz w:val="22"/>
          <w:szCs w:val="22"/>
        </w:rPr>
        <w:t>Diminuer de</w:t>
      </w:r>
      <w:r>
        <w:rPr>
          <w:rFonts w:ascii="GillSans" w:hAnsi="GillSans"/>
          <w:color w:val="000000"/>
          <w:sz w:val="22"/>
          <w:szCs w:val="22"/>
        </w:rPr>
        <w:t xml:space="preserve"> </w:t>
      </w:r>
      <w:r>
        <w:rPr>
          <w:rFonts w:ascii="sans-serif" w:hAnsi="sans-serif"/>
          <w:color w:val="000000"/>
          <w:sz w:val="22"/>
          <w:szCs w:val="22"/>
        </w:rPr>
        <w:t>10 %</w:t>
      </w:r>
      <w:r>
        <w:rPr>
          <w:rFonts w:ascii="GillSans" w:hAnsi="GillSans"/>
          <w:color w:val="000000"/>
          <w:sz w:val="22"/>
          <w:szCs w:val="22"/>
        </w:rPr>
        <w:t xml:space="preserve"> </w:t>
      </w:r>
      <w:r>
        <w:rPr>
          <w:rFonts w:ascii="sans-serif" w:hAnsi="sans-serif"/>
          <w:color w:val="000000"/>
          <w:sz w:val="22"/>
          <w:szCs w:val="22"/>
        </w:rPr>
        <w:t>l’ensemble de nos déchets ménagers d’ici 2020</w:t>
      </w:r>
      <w:r>
        <w:rPr>
          <w:rFonts w:ascii="GillSans" w:hAnsi="GillSans"/>
          <w:color w:val="000000"/>
          <w:sz w:val="22"/>
          <w:szCs w:val="22"/>
        </w:rPr>
        <w:br/>
        <w:t xml:space="preserve"> -</w:t>
      </w:r>
      <w:r>
        <w:rPr>
          <w:rFonts w:ascii="sans-serif" w:hAnsi="sans-serif"/>
          <w:color w:val="000000"/>
          <w:sz w:val="22"/>
          <w:szCs w:val="22"/>
        </w:rPr>
        <w:t>Atteindre</w:t>
      </w:r>
      <w:r>
        <w:rPr>
          <w:rFonts w:ascii="GillSans" w:hAnsi="GillSans"/>
          <w:color w:val="000000"/>
          <w:sz w:val="22"/>
          <w:szCs w:val="22"/>
        </w:rPr>
        <w:t xml:space="preserve"> </w:t>
      </w:r>
      <w:r>
        <w:rPr>
          <w:rFonts w:ascii="sans-serif" w:hAnsi="sans-serif"/>
          <w:color w:val="000000"/>
          <w:sz w:val="22"/>
          <w:szCs w:val="22"/>
        </w:rPr>
        <w:t>55 %</w:t>
      </w:r>
      <w:r>
        <w:rPr>
          <w:rFonts w:ascii="GillSans" w:hAnsi="GillSans"/>
          <w:color w:val="000000"/>
          <w:sz w:val="22"/>
          <w:szCs w:val="22"/>
        </w:rPr>
        <w:t xml:space="preserve"> </w:t>
      </w:r>
      <w:r>
        <w:rPr>
          <w:rFonts w:ascii="sans-serif" w:hAnsi="sans-serif"/>
          <w:color w:val="000000"/>
          <w:sz w:val="22"/>
          <w:szCs w:val="22"/>
        </w:rPr>
        <w:t>de matière en 2020 et</w:t>
      </w:r>
      <w:r>
        <w:rPr>
          <w:rFonts w:ascii="GillSans" w:hAnsi="GillSans"/>
          <w:color w:val="000000"/>
          <w:sz w:val="22"/>
          <w:szCs w:val="22"/>
        </w:rPr>
        <w:t xml:space="preserve"> </w:t>
      </w:r>
      <w:r>
        <w:rPr>
          <w:rFonts w:ascii="sans-serif" w:hAnsi="sans-serif"/>
          <w:color w:val="000000"/>
          <w:sz w:val="22"/>
          <w:szCs w:val="22"/>
        </w:rPr>
        <w:t>65 %</w:t>
      </w:r>
      <w:r>
        <w:rPr>
          <w:rFonts w:ascii="GillSans" w:hAnsi="GillSans"/>
          <w:color w:val="000000"/>
          <w:sz w:val="22"/>
          <w:szCs w:val="22"/>
        </w:rPr>
        <w:t xml:space="preserve"> </w:t>
      </w:r>
      <w:r>
        <w:rPr>
          <w:rFonts w:ascii="sans-serif" w:hAnsi="sans-serif"/>
          <w:color w:val="000000"/>
          <w:sz w:val="22"/>
          <w:szCs w:val="22"/>
        </w:rPr>
        <w:t>en 2025</w:t>
      </w:r>
      <w:r>
        <w:rPr>
          <w:rFonts w:ascii="GillSans" w:hAnsi="GillSans"/>
          <w:color w:val="000000"/>
          <w:sz w:val="22"/>
          <w:szCs w:val="22"/>
        </w:rPr>
        <w:br/>
        <w:t xml:space="preserve">- </w:t>
      </w:r>
      <w:r>
        <w:rPr>
          <w:rFonts w:ascii="sans-serif" w:hAnsi="sans-serif"/>
          <w:color w:val="000000"/>
          <w:sz w:val="22"/>
          <w:szCs w:val="22"/>
        </w:rPr>
        <w:t>Offrir à chacun des solutions permettant la valorisation des</w:t>
      </w:r>
      <w:r>
        <w:rPr>
          <w:rFonts w:ascii="GillSans" w:hAnsi="GillSans"/>
          <w:color w:val="000000"/>
          <w:sz w:val="22"/>
          <w:szCs w:val="22"/>
        </w:rPr>
        <w:t xml:space="preserve"> </w:t>
      </w:r>
      <w:r>
        <w:rPr>
          <w:rFonts w:ascii="sans-serif" w:hAnsi="sans-serif"/>
          <w:color w:val="000000"/>
          <w:sz w:val="22"/>
          <w:szCs w:val="22"/>
        </w:rPr>
        <w:t>biodéchets des particuliers d’ici à 2025</w:t>
      </w:r>
      <w:r>
        <w:rPr>
          <w:rFonts w:ascii="GillSans" w:hAnsi="GillSans"/>
          <w:color w:val="000000"/>
          <w:sz w:val="22"/>
          <w:szCs w:val="22"/>
        </w:rPr>
        <w:br/>
        <w:t xml:space="preserve">- </w:t>
      </w:r>
      <w:r>
        <w:rPr>
          <w:rFonts w:ascii="sans-serif" w:hAnsi="sans-serif"/>
          <w:color w:val="000000"/>
          <w:sz w:val="22"/>
          <w:szCs w:val="22"/>
        </w:rPr>
        <w:t>Généraliser progressivement la tarification incitative,</w:t>
      </w:r>
      <w:r>
        <w:rPr>
          <w:rFonts w:ascii="GillSans" w:hAnsi="GillSans"/>
          <w:color w:val="000000"/>
          <w:sz w:val="22"/>
          <w:szCs w:val="22"/>
        </w:rPr>
        <w:t xml:space="preserve"> </w:t>
      </w:r>
      <w:r>
        <w:rPr>
          <w:rFonts w:ascii="sans-serif" w:hAnsi="sans-serif"/>
          <w:color w:val="000000"/>
          <w:sz w:val="22"/>
          <w:szCs w:val="22"/>
        </w:rPr>
        <w:t>15</w:t>
      </w:r>
      <w:r>
        <w:rPr>
          <w:rFonts w:ascii="GillSans" w:hAnsi="GillSans"/>
          <w:color w:val="000000"/>
          <w:sz w:val="22"/>
          <w:szCs w:val="22"/>
        </w:rPr>
        <w:t xml:space="preserve"> </w:t>
      </w:r>
      <w:r>
        <w:rPr>
          <w:rFonts w:ascii="sans-serif" w:hAnsi="sans-serif"/>
          <w:color w:val="000000"/>
          <w:sz w:val="22"/>
          <w:szCs w:val="22"/>
        </w:rPr>
        <w:t>millions</w:t>
      </w:r>
      <w:r>
        <w:rPr>
          <w:rFonts w:ascii="GillSans" w:hAnsi="GillSans"/>
          <w:color w:val="000000"/>
          <w:sz w:val="22"/>
          <w:szCs w:val="22"/>
        </w:rPr>
        <w:t xml:space="preserve"> </w:t>
      </w:r>
      <w:r>
        <w:rPr>
          <w:rFonts w:ascii="sans-serif" w:hAnsi="sans-serif"/>
          <w:color w:val="000000"/>
          <w:sz w:val="22"/>
          <w:szCs w:val="22"/>
        </w:rPr>
        <w:t>d’habitants couverts en 2020 et</w:t>
      </w:r>
      <w:r>
        <w:rPr>
          <w:rFonts w:ascii="GillSans" w:hAnsi="GillSans"/>
          <w:color w:val="000000"/>
          <w:sz w:val="22"/>
          <w:szCs w:val="22"/>
        </w:rPr>
        <w:t xml:space="preserve"> </w:t>
      </w:r>
      <w:r>
        <w:rPr>
          <w:rFonts w:ascii="sans-serif" w:hAnsi="sans-serif"/>
          <w:color w:val="000000"/>
          <w:sz w:val="22"/>
          <w:szCs w:val="22"/>
        </w:rPr>
        <w:t>25</w:t>
      </w:r>
      <w:r>
        <w:rPr>
          <w:rFonts w:ascii="GillSans" w:hAnsi="GillSans"/>
          <w:color w:val="000000"/>
          <w:sz w:val="22"/>
          <w:szCs w:val="22"/>
        </w:rPr>
        <w:t xml:space="preserve"> </w:t>
      </w:r>
      <w:r>
        <w:rPr>
          <w:rFonts w:ascii="sans-serif" w:hAnsi="sans-serif"/>
          <w:color w:val="000000"/>
          <w:sz w:val="22"/>
          <w:szCs w:val="22"/>
        </w:rPr>
        <w:t>millions en 2025</w:t>
      </w:r>
      <w:r>
        <w:rPr>
          <w:rFonts w:ascii="GillSans" w:hAnsi="GillSans"/>
          <w:color w:val="000000"/>
          <w:sz w:val="22"/>
          <w:szCs w:val="22"/>
        </w:rPr>
        <w:t xml:space="preserve"> → </w:t>
      </w:r>
      <w:r>
        <w:rPr>
          <w:rFonts w:ascii="sans-serif" w:hAnsi="sans-serif"/>
          <w:color w:val="000000"/>
          <w:sz w:val="22"/>
          <w:szCs w:val="22"/>
        </w:rPr>
        <w:t>Application au SMD3 et aux Périgourdins à</w:t>
      </w:r>
      <w:r>
        <w:rPr>
          <w:rFonts w:ascii="GillSans" w:hAnsi="GillSans"/>
          <w:color w:val="000000"/>
          <w:sz w:val="22"/>
          <w:szCs w:val="22"/>
        </w:rPr>
        <w:t xml:space="preserve"> </w:t>
      </w:r>
      <w:r>
        <w:rPr>
          <w:rFonts w:ascii="sans-serif" w:hAnsi="sans-serif"/>
          <w:color w:val="000000"/>
          <w:sz w:val="22"/>
          <w:szCs w:val="22"/>
        </w:rPr>
        <w:t>l’horizon 2025</w:t>
      </w:r>
      <w:r>
        <w:rPr>
          <w:rFonts w:ascii="GillSans" w:hAnsi="GillSans"/>
          <w:color w:val="000000"/>
          <w:sz w:val="22"/>
          <w:szCs w:val="22"/>
        </w:rPr>
        <w:br/>
      </w:r>
    </w:p>
    <w:p>
      <w:pPr>
        <w:pStyle w:val="Normal"/>
        <w:numPr>
          <w:ilvl w:val="0"/>
          <w:numId w:val="2"/>
        </w:numPr>
        <w:bidi w:val="0"/>
        <w:jc w:val="left"/>
        <w:rPr>
          <w:sz w:val="22"/>
          <w:szCs w:val="22"/>
        </w:rPr>
      </w:pPr>
      <w:r>
        <w:rPr>
          <w:rFonts w:ascii="sans-serif" w:hAnsi="sans-serif"/>
          <w:color w:val="000000"/>
          <w:sz w:val="22"/>
          <w:szCs w:val="22"/>
        </w:rPr>
        <w:t>Passage de</w:t>
      </w:r>
      <w:r>
        <w:rPr>
          <w:rFonts w:ascii="GillSans" w:hAnsi="GillSans"/>
          <w:color w:val="000000"/>
          <w:sz w:val="22"/>
          <w:szCs w:val="22"/>
        </w:rPr>
        <w:t xml:space="preserve"> </w:t>
      </w:r>
      <w:r>
        <w:rPr>
          <w:rFonts w:ascii="sans-serif" w:hAnsi="sans-serif"/>
          <w:color w:val="000000"/>
          <w:sz w:val="22"/>
          <w:szCs w:val="22"/>
        </w:rPr>
        <w:t>120 000</w:t>
      </w:r>
      <w:r>
        <w:rPr>
          <w:rFonts w:ascii="GillSans" w:hAnsi="GillSans"/>
          <w:color w:val="000000"/>
          <w:sz w:val="22"/>
          <w:szCs w:val="22"/>
        </w:rPr>
        <w:t xml:space="preserve"> </w:t>
      </w:r>
      <w:r>
        <w:rPr>
          <w:rFonts w:ascii="sans-serif" w:hAnsi="sans-serif"/>
          <w:color w:val="000000"/>
          <w:sz w:val="22"/>
          <w:szCs w:val="22"/>
        </w:rPr>
        <w:t>tonnes enfouies en 2010 à</w:t>
      </w:r>
      <w:r>
        <w:rPr>
          <w:rFonts w:ascii="GillSans" w:hAnsi="GillSans"/>
          <w:color w:val="000000"/>
          <w:sz w:val="22"/>
          <w:szCs w:val="22"/>
        </w:rPr>
        <w:t xml:space="preserve"> </w:t>
      </w:r>
      <w:r>
        <w:rPr>
          <w:rFonts w:ascii="sans-serif" w:hAnsi="sans-serif"/>
          <w:color w:val="000000"/>
          <w:sz w:val="22"/>
          <w:szCs w:val="22"/>
        </w:rPr>
        <w:t>60 000</w:t>
      </w:r>
      <w:r>
        <w:rPr>
          <w:rFonts w:ascii="GillSans" w:hAnsi="GillSans"/>
          <w:color w:val="000000"/>
          <w:sz w:val="22"/>
          <w:szCs w:val="22"/>
        </w:rPr>
        <w:t xml:space="preserve"> </w:t>
      </w:r>
      <w:r>
        <w:rPr>
          <w:rFonts w:ascii="sans-serif" w:hAnsi="sans-serif"/>
          <w:color w:val="000000"/>
          <w:sz w:val="22"/>
          <w:szCs w:val="22"/>
        </w:rPr>
        <w:t>tonnes</w:t>
      </w:r>
    </w:p>
    <w:p>
      <w:pPr>
        <w:pStyle w:val="Normal"/>
        <w:numPr>
          <w:ilvl w:val="0"/>
          <w:numId w:val="2"/>
        </w:numPr>
        <w:bidi w:val="0"/>
        <w:jc w:val="left"/>
        <w:rPr>
          <w:sz w:val="22"/>
          <w:szCs w:val="22"/>
        </w:rPr>
      </w:pPr>
      <w:r>
        <w:rPr>
          <w:rFonts w:ascii="sans-serif" w:hAnsi="sans-serif"/>
          <w:color w:val="000000"/>
          <w:sz w:val="22"/>
          <w:szCs w:val="22"/>
        </w:rPr>
        <w:t>Passage de</w:t>
      </w:r>
      <w:r>
        <w:rPr>
          <w:rFonts w:ascii="GillSans" w:hAnsi="GillSans"/>
          <w:color w:val="000000"/>
          <w:sz w:val="22"/>
          <w:szCs w:val="22"/>
        </w:rPr>
        <w:t xml:space="preserve"> </w:t>
      </w:r>
      <w:r>
        <w:rPr>
          <w:rFonts w:ascii="sans-serif" w:hAnsi="sans-serif"/>
          <w:color w:val="000000"/>
          <w:sz w:val="22"/>
          <w:szCs w:val="22"/>
        </w:rPr>
        <w:t>600</w:t>
      </w:r>
      <w:r>
        <w:rPr>
          <w:rFonts w:ascii="GillSans" w:hAnsi="GillSans"/>
          <w:color w:val="000000"/>
          <w:sz w:val="22"/>
          <w:szCs w:val="22"/>
        </w:rPr>
        <w:t xml:space="preserve"> </w:t>
      </w:r>
      <w:r>
        <w:rPr>
          <w:rFonts w:ascii="sans-serif" w:hAnsi="sans-serif"/>
          <w:color w:val="000000"/>
          <w:sz w:val="22"/>
          <w:szCs w:val="22"/>
        </w:rPr>
        <w:t>kg/habitant de déchets ménagers et assimilés en</w:t>
      </w:r>
      <w:r>
        <w:rPr>
          <w:rFonts w:ascii="GillSans" w:hAnsi="GillSans"/>
          <w:color w:val="000000"/>
          <w:sz w:val="22"/>
          <w:szCs w:val="22"/>
        </w:rPr>
        <w:br/>
      </w:r>
      <w:r>
        <w:rPr>
          <w:rFonts w:ascii="sans-serif" w:hAnsi="sans-serif"/>
          <w:color w:val="000000"/>
          <w:sz w:val="22"/>
          <w:szCs w:val="22"/>
        </w:rPr>
        <w:t>2010 à</w:t>
      </w:r>
      <w:r>
        <w:rPr>
          <w:rFonts w:ascii="GillSans" w:hAnsi="GillSans"/>
          <w:color w:val="000000"/>
          <w:sz w:val="22"/>
          <w:szCs w:val="22"/>
        </w:rPr>
        <w:t xml:space="preserve"> </w:t>
      </w:r>
      <w:r>
        <w:rPr>
          <w:rFonts w:ascii="sans-serif" w:hAnsi="sans-serif"/>
          <w:color w:val="000000"/>
          <w:sz w:val="22"/>
          <w:szCs w:val="22"/>
        </w:rPr>
        <w:t>530</w:t>
      </w:r>
      <w:r>
        <w:rPr>
          <w:rFonts w:ascii="GillSans" w:hAnsi="GillSans"/>
          <w:color w:val="000000"/>
          <w:sz w:val="22"/>
          <w:szCs w:val="22"/>
        </w:rPr>
        <w:t xml:space="preserve"> </w:t>
      </w:r>
      <w:r>
        <w:rPr>
          <w:rFonts w:ascii="sans-serif" w:hAnsi="sans-serif"/>
          <w:color w:val="000000"/>
          <w:sz w:val="22"/>
          <w:szCs w:val="22"/>
        </w:rPr>
        <w:t>kg/habitant</w:t>
      </w:r>
    </w:p>
    <w:p>
      <w:pPr>
        <w:pStyle w:val="Normal"/>
        <w:numPr>
          <w:ilvl w:val="0"/>
          <w:numId w:val="2"/>
        </w:numPr>
        <w:bidi w:val="0"/>
        <w:jc w:val="left"/>
        <w:rPr>
          <w:sz w:val="22"/>
          <w:szCs w:val="22"/>
        </w:rPr>
      </w:pPr>
      <w:r>
        <w:rPr>
          <w:rFonts w:ascii="sans-serif" w:hAnsi="sans-serif"/>
          <w:color w:val="000000"/>
          <w:sz w:val="22"/>
          <w:szCs w:val="22"/>
        </w:rPr>
        <w:t>Passage de</w:t>
      </w:r>
      <w:r>
        <w:rPr>
          <w:rFonts w:ascii="GillSans" w:hAnsi="GillSans"/>
          <w:color w:val="000000"/>
          <w:sz w:val="22"/>
          <w:szCs w:val="22"/>
        </w:rPr>
        <w:t xml:space="preserve"> </w:t>
      </w:r>
      <w:r>
        <w:rPr>
          <w:rFonts w:ascii="sans-serif" w:hAnsi="sans-serif"/>
          <w:color w:val="000000"/>
          <w:sz w:val="22"/>
          <w:szCs w:val="22"/>
        </w:rPr>
        <w:t>90 000</w:t>
      </w:r>
      <w:r>
        <w:rPr>
          <w:rFonts w:ascii="GillSans" w:hAnsi="GillSans"/>
          <w:color w:val="000000"/>
          <w:sz w:val="22"/>
          <w:szCs w:val="22"/>
        </w:rPr>
        <w:t xml:space="preserve"> </w:t>
      </w:r>
      <w:r>
        <w:rPr>
          <w:rFonts w:ascii="sans-serif" w:hAnsi="sans-serif"/>
          <w:color w:val="000000"/>
          <w:sz w:val="22"/>
          <w:szCs w:val="22"/>
        </w:rPr>
        <w:t>tonnes orientées vers le recyclage en 2015</w:t>
      </w:r>
      <w:r>
        <w:rPr>
          <w:rFonts w:ascii="GillSans" w:hAnsi="GillSans"/>
          <w:color w:val="000000"/>
          <w:sz w:val="22"/>
          <w:szCs w:val="22"/>
        </w:rPr>
        <w:t xml:space="preserve"> </w:t>
      </w:r>
      <w:r>
        <w:rPr>
          <w:rFonts w:ascii="sans-serif" w:hAnsi="sans-serif"/>
          <w:color w:val="000000"/>
          <w:sz w:val="22"/>
          <w:szCs w:val="22"/>
        </w:rPr>
        <w:t>à</w:t>
      </w:r>
      <w:r>
        <w:rPr>
          <w:rFonts w:ascii="GillSans" w:hAnsi="GillSans"/>
          <w:color w:val="000000"/>
          <w:sz w:val="22"/>
          <w:szCs w:val="22"/>
        </w:rPr>
        <w:t xml:space="preserve"> </w:t>
      </w:r>
      <w:r>
        <w:rPr>
          <w:rFonts w:ascii="sans-serif" w:hAnsi="sans-serif"/>
          <w:color w:val="000000"/>
          <w:sz w:val="22"/>
          <w:szCs w:val="22"/>
        </w:rPr>
        <w:t>125 000</w:t>
      </w:r>
      <w:r>
        <w:rPr>
          <w:rFonts w:ascii="GillSans" w:hAnsi="GillSans"/>
          <w:color w:val="000000"/>
          <w:sz w:val="22"/>
          <w:szCs w:val="22"/>
        </w:rPr>
        <w:t xml:space="preserve"> </w:t>
      </w:r>
      <w:r>
        <w:rPr>
          <w:rFonts w:ascii="sans-serif" w:hAnsi="sans-serif"/>
          <w:color w:val="000000"/>
          <w:sz w:val="22"/>
          <w:szCs w:val="22"/>
        </w:rPr>
        <w:t>tonnes</w:t>
      </w:r>
    </w:p>
    <w:p>
      <w:pPr>
        <w:pStyle w:val="Normal"/>
        <w:numPr>
          <w:ilvl w:val="0"/>
          <w:numId w:val="2"/>
        </w:numPr>
        <w:bidi w:val="0"/>
        <w:jc w:val="left"/>
        <w:rPr>
          <w:sz w:val="22"/>
          <w:szCs w:val="22"/>
        </w:rPr>
      </w:pPr>
      <w:r>
        <w:rPr>
          <w:rFonts w:ascii="sans-serif" w:hAnsi="sans-serif"/>
          <w:color w:val="000000"/>
          <w:sz w:val="22"/>
          <w:szCs w:val="22"/>
        </w:rPr>
        <w:t>Développer le compostage individuel, valoriser les biodéchets</w:t>
      </w:r>
      <w:r>
        <w:rPr>
          <w:rFonts w:ascii="GillSans" w:hAnsi="GillSans"/>
          <w:color w:val="000000"/>
          <w:sz w:val="22"/>
          <w:szCs w:val="22"/>
        </w:rPr>
        <w:t xml:space="preserve"> </w:t>
      </w:r>
      <w:r>
        <w:rPr>
          <w:rFonts w:ascii="sans-serif" w:hAnsi="sans-serif"/>
          <w:color w:val="000000"/>
          <w:sz w:val="22"/>
          <w:szCs w:val="22"/>
        </w:rPr>
        <w:t>sur les hyper-centres, l’habitat vertical et les bastides, valoriser</w:t>
      </w:r>
      <w:r>
        <w:rPr>
          <w:rFonts w:ascii="GillSans" w:hAnsi="GillSans"/>
          <w:color w:val="000000"/>
          <w:sz w:val="22"/>
          <w:szCs w:val="22"/>
        </w:rPr>
        <w:t xml:space="preserve"> </w:t>
      </w:r>
      <w:r>
        <w:rPr>
          <w:rFonts w:ascii="sans-serif" w:hAnsi="sans-serif"/>
          <w:color w:val="000000"/>
          <w:sz w:val="22"/>
          <w:szCs w:val="22"/>
        </w:rPr>
        <w:t>les biodéchets des gros producteurs</w:t>
      </w:r>
    </w:p>
    <w:p>
      <w:pPr>
        <w:pStyle w:val="Normal"/>
        <w:numPr>
          <w:ilvl w:val="0"/>
          <w:numId w:val="2"/>
        </w:numPr>
        <w:bidi w:val="0"/>
        <w:jc w:val="left"/>
        <w:rPr>
          <w:sz w:val="22"/>
          <w:szCs w:val="22"/>
        </w:rPr>
      </w:pPr>
      <w:r>
        <w:rPr>
          <w:rFonts w:ascii="sans-serif" w:hAnsi="sans-serif"/>
          <w:color w:val="000000"/>
          <w:sz w:val="22"/>
          <w:szCs w:val="22"/>
        </w:rPr>
        <w:t>Étude de mise en œuvre de la tarification incitative</w:t>
      </w:r>
      <w:r>
        <w:rPr>
          <w:rFonts w:ascii="GillSans" w:hAnsi="GillSans"/>
          <w:color w:val="000000"/>
          <w:sz w:val="22"/>
          <w:szCs w:val="22"/>
        </w:rPr>
        <w:br/>
      </w:r>
    </w:p>
    <w:p>
      <w:pPr>
        <w:pStyle w:val="Normal"/>
        <w:numPr>
          <w:ilvl w:val="0"/>
          <w:numId w:val="3"/>
        </w:numPr>
        <w:bidi w:val="0"/>
        <w:jc w:val="left"/>
        <w:rPr>
          <w:sz w:val="22"/>
          <w:szCs w:val="22"/>
        </w:rPr>
      </w:pPr>
      <w:r>
        <w:rPr>
          <w:rFonts w:ascii="sans-serif" w:hAnsi="sans-serif"/>
          <w:color w:val="000000"/>
          <w:sz w:val="22"/>
          <w:szCs w:val="22"/>
        </w:rPr>
        <w:t>Réduire fortement la production de Déchets</w:t>
      </w:r>
      <w:r>
        <w:rPr>
          <w:rFonts w:ascii="GillSans" w:hAnsi="GillSans"/>
          <w:color w:val="000000"/>
          <w:sz w:val="22"/>
          <w:szCs w:val="22"/>
        </w:rPr>
        <w:t xml:space="preserve"> </w:t>
      </w:r>
      <w:r>
        <w:rPr>
          <w:rFonts w:ascii="sans-serif" w:hAnsi="sans-serif"/>
          <w:color w:val="000000"/>
          <w:sz w:val="22"/>
          <w:szCs w:val="22"/>
        </w:rPr>
        <w:t>: développer le compostage individuel, accentuer la réduction des</w:t>
      </w:r>
      <w:r>
        <w:rPr>
          <w:rFonts w:ascii="GillSans" w:hAnsi="GillSans"/>
          <w:color w:val="000000"/>
          <w:sz w:val="22"/>
          <w:szCs w:val="22"/>
        </w:rPr>
        <w:t xml:space="preserve"> </w:t>
      </w:r>
      <w:r>
        <w:rPr>
          <w:rFonts w:ascii="sans-serif" w:hAnsi="sans-serif"/>
          <w:color w:val="000000"/>
          <w:sz w:val="22"/>
          <w:szCs w:val="22"/>
        </w:rPr>
        <w:t>déchets dans le secteur touristique, favoriser les actions de</w:t>
      </w:r>
      <w:r>
        <w:rPr>
          <w:rFonts w:ascii="GillSans" w:hAnsi="GillSans"/>
          <w:color w:val="000000"/>
          <w:sz w:val="22"/>
          <w:szCs w:val="22"/>
        </w:rPr>
        <w:t xml:space="preserve"> </w:t>
      </w:r>
      <w:r>
        <w:rPr>
          <w:rFonts w:ascii="sans-serif" w:hAnsi="sans-serif"/>
          <w:color w:val="000000"/>
          <w:sz w:val="22"/>
          <w:szCs w:val="22"/>
        </w:rPr>
        <w:t>détournement en amont des déchèteries,</w:t>
      </w:r>
    </w:p>
    <w:p>
      <w:pPr>
        <w:pStyle w:val="Normal"/>
        <w:numPr>
          <w:ilvl w:val="0"/>
          <w:numId w:val="0"/>
        </w:numPr>
        <w:bidi w:val="0"/>
        <w:ind w:left="720" w:hanging="0"/>
        <w:jc w:val="left"/>
        <w:rPr>
          <w:rFonts w:ascii="sans-serif" w:hAnsi="sans-serif"/>
          <w:color w:val="000000"/>
          <w:sz w:val="22"/>
          <w:szCs w:val="22"/>
        </w:rPr>
      </w:pPr>
      <w:r>
        <w:rPr>
          <w:rFonts w:ascii="sans-serif" w:hAnsi="sans-serif"/>
          <w:color w:val="000000"/>
          <w:sz w:val="22"/>
          <w:szCs w:val="22"/>
        </w:rPr>
      </w:r>
    </w:p>
    <w:p>
      <w:pPr>
        <w:pStyle w:val="Normal"/>
        <w:bidi w:val="0"/>
        <w:jc w:val="left"/>
        <w:rPr>
          <w:sz w:val="22"/>
          <w:szCs w:val="22"/>
        </w:rPr>
      </w:pPr>
      <w:r>
        <w:rPr>
          <w:rFonts w:ascii="sans-serif" w:hAnsi="sans-serif"/>
          <w:color w:val="000000"/>
          <w:sz w:val="22"/>
          <w:szCs w:val="22"/>
        </w:rPr>
        <w:t xml:space="preserve"> </w:t>
      </w:r>
      <w:r>
        <w:rPr>
          <w:rFonts w:ascii="sans-serif" w:hAnsi="sans-serif"/>
          <w:color w:val="000000"/>
          <w:sz w:val="22"/>
          <w:szCs w:val="22"/>
        </w:rPr>
        <w:t>tester les conditions d’application de la tarification incitative.</w:t>
      </w:r>
      <w:r>
        <w:rPr>
          <w:rFonts w:ascii="GillSans" w:hAnsi="GillSans"/>
          <w:color w:val="000000"/>
          <w:sz w:val="22"/>
          <w:szCs w:val="22"/>
        </w:rPr>
        <w:br/>
      </w:r>
    </w:p>
    <w:p>
      <w:pPr>
        <w:pStyle w:val="Normal"/>
        <w:bidi w:val="0"/>
        <w:jc w:val="left"/>
        <w:rPr>
          <w:sz w:val="22"/>
          <w:szCs w:val="22"/>
        </w:rPr>
      </w:pPr>
      <w:r>
        <w:rPr>
          <w:rFonts w:ascii="sans-serif" w:hAnsi="sans-serif"/>
          <w:color w:val="000000"/>
          <w:sz w:val="22"/>
          <w:szCs w:val="22"/>
        </w:rPr>
        <w:t>- Faire encore progresser la valorisation</w:t>
      </w:r>
      <w:r>
        <w:rPr>
          <w:rFonts w:ascii="GillSans" w:hAnsi="GillSans"/>
          <w:color w:val="000000"/>
          <w:sz w:val="22"/>
          <w:szCs w:val="22"/>
        </w:rPr>
        <w:t xml:space="preserve"> </w:t>
      </w:r>
      <w:r>
        <w:rPr>
          <w:rFonts w:ascii="sans-serif" w:hAnsi="sans-serif"/>
          <w:color w:val="000000"/>
          <w:sz w:val="22"/>
          <w:szCs w:val="22"/>
        </w:rPr>
        <w:t>: faire progresser</w:t>
      </w:r>
      <w:r>
        <w:rPr>
          <w:rFonts w:ascii="GillSans" w:hAnsi="GillSans"/>
          <w:color w:val="000000"/>
          <w:sz w:val="22"/>
          <w:szCs w:val="22"/>
        </w:rPr>
        <w:t xml:space="preserve"> </w:t>
      </w:r>
      <w:r>
        <w:rPr>
          <w:rFonts w:ascii="sans-serif" w:hAnsi="sans-serif"/>
          <w:color w:val="000000"/>
          <w:sz w:val="22"/>
          <w:szCs w:val="22"/>
        </w:rPr>
        <w:t>la valorisation du verre, faire appliquer la gestion des déchets lors des manifestations estivales, valoriser les biodéchets sur les hyper-centres, l’habitat vertical et les bastides,</w:t>
      </w:r>
      <w:r>
        <w:rPr>
          <w:rFonts w:ascii="GillSans" w:hAnsi="GillSans"/>
          <w:color w:val="000000"/>
          <w:sz w:val="22"/>
          <w:szCs w:val="22"/>
        </w:rPr>
        <w:t xml:space="preserve"> </w:t>
      </w:r>
      <w:r>
        <w:rPr>
          <w:rFonts w:ascii="sans-serif" w:hAnsi="sans-serif"/>
          <w:color w:val="000000"/>
          <w:sz w:val="22"/>
          <w:szCs w:val="22"/>
        </w:rPr>
        <w:t>valoriser les biodéchets des gros producteurs.</w:t>
      </w:r>
      <w:r>
        <w:rPr>
          <w:rFonts w:ascii="GillSans" w:hAnsi="GillSans"/>
          <w:color w:val="000000"/>
          <w:sz w:val="22"/>
          <w:szCs w:val="22"/>
        </w:rPr>
        <w:br/>
      </w:r>
    </w:p>
    <w:p>
      <w:pPr>
        <w:pStyle w:val="Normal"/>
        <w:bidi w:val="0"/>
        <w:jc w:val="left"/>
        <w:rPr>
          <w:sz w:val="22"/>
          <w:szCs w:val="22"/>
        </w:rPr>
      </w:pPr>
      <w:r>
        <w:rPr>
          <w:rFonts w:ascii="sans-serif" w:hAnsi="sans-serif"/>
          <w:color w:val="000000"/>
          <w:sz w:val="22"/>
          <w:szCs w:val="22"/>
        </w:rPr>
        <w:t>- Se préparer aux évolutions nécessaires des traitements</w:t>
      </w:r>
      <w:r>
        <w:rPr>
          <w:rFonts w:ascii="GillSans" w:hAnsi="GillSans"/>
          <w:color w:val="000000"/>
          <w:sz w:val="22"/>
          <w:szCs w:val="22"/>
        </w:rPr>
        <w:t xml:space="preserve"> </w:t>
      </w:r>
      <w:r>
        <w:rPr>
          <w:rFonts w:ascii="sans-serif" w:hAnsi="sans-serif"/>
          <w:color w:val="000000"/>
          <w:sz w:val="22"/>
          <w:szCs w:val="22"/>
        </w:rPr>
        <w:t>:</w:t>
      </w:r>
      <w:r>
        <w:rPr>
          <w:rFonts w:ascii="GillSans" w:hAnsi="GillSans"/>
          <w:color w:val="000000"/>
          <w:sz w:val="22"/>
          <w:szCs w:val="22"/>
        </w:rPr>
        <w:t xml:space="preserve"> </w:t>
      </w:r>
      <w:r>
        <w:rPr>
          <w:rFonts w:ascii="sans-serif" w:hAnsi="sans-serif"/>
          <w:color w:val="000000"/>
          <w:sz w:val="22"/>
          <w:szCs w:val="22"/>
        </w:rPr>
        <w:t>optimiser le fonctionnement des installations de tri et des</w:t>
      </w:r>
      <w:r>
        <w:rPr>
          <w:rFonts w:ascii="GillSans" w:hAnsi="GillSans"/>
          <w:color w:val="000000"/>
          <w:sz w:val="22"/>
          <w:szCs w:val="22"/>
        </w:rPr>
        <w:t xml:space="preserve"> </w:t>
      </w:r>
      <w:r>
        <w:rPr>
          <w:rFonts w:ascii="sans-serif" w:hAnsi="sans-serif"/>
          <w:color w:val="000000"/>
          <w:sz w:val="22"/>
          <w:szCs w:val="22"/>
        </w:rPr>
        <w:t>installations de compostages actuelles, préparer l’augmentation de la capacité de tri.</w:t>
      </w:r>
      <w:r>
        <w:rPr>
          <w:rFonts w:ascii="GillSans" w:hAnsi="GillSans"/>
          <w:color w:val="000000"/>
          <w:sz w:val="22"/>
          <w:szCs w:val="22"/>
        </w:rPr>
        <w:br/>
      </w:r>
    </w:p>
    <w:p>
      <w:pPr>
        <w:pStyle w:val="Normal"/>
        <w:bidi w:val="0"/>
        <w:jc w:val="left"/>
        <w:rPr>
          <w:sz w:val="22"/>
          <w:szCs w:val="22"/>
        </w:rPr>
      </w:pPr>
      <w:r>
        <w:rPr>
          <w:rFonts w:ascii="GillSans" w:hAnsi="GillSans"/>
          <w:color w:val="000000"/>
          <w:sz w:val="22"/>
          <w:szCs w:val="22"/>
        </w:rPr>
        <w:t xml:space="preserve">- </w:t>
      </w:r>
      <w:r>
        <w:rPr>
          <w:rFonts w:ascii="sans-serif" w:hAnsi="sans-serif"/>
          <w:color w:val="000000"/>
          <w:sz w:val="22"/>
          <w:szCs w:val="22"/>
        </w:rPr>
        <w:t>Adapter la gouvernance aux nouveaux enjeux</w:t>
      </w:r>
      <w:r>
        <w:rPr>
          <w:rFonts w:ascii="GillSans" w:hAnsi="GillSans"/>
          <w:color w:val="000000"/>
          <w:sz w:val="22"/>
          <w:szCs w:val="22"/>
        </w:rPr>
        <w:t xml:space="preserve"> </w:t>
      </w:r>
      <w:r>
        <w:rPr>
          <w:rFonts w:ascii="sans-serif" w:hAnsi="sans-serif"/>
          <w:color w:val="000000"/>
          <w:sz w:val="22"/>
          <w:szCs w:val="22"/>
        </w:rPr>
        <w:t>: mettre</w:t>
      </w:r>
      <w:r>
        <w:rPr>
          <w:rFonts w:ascii="GillSans" w:hAnsi="GillSans"/>
          <w:color w:val="000000"/>
          <w:sz w:val="22"/>
          <w:szCs w:val="22"/>
        </w:rPr>
        <w:t xml:space="preserve"> </w:t>
      </w:r>
      <w:r>
        <w:rPr>
          <w:rFonts w:ascii="sans-serif" w:hAnsi="sans-serif"/>
          <w:color w:val="000000"/>
          <w:sz w:val="22"/>
          <w:szCs w:val="22"/>
        </w:rPr>
        <w:t>en place et animer une instance de concertation technique</w:t>
      </w:r>
      <w:r>
        <w:rPr>
          <w:rFonts w:ascii="GillSans" w:hAnsi="GillSans"/>
          <w:color w:val="000000"/>
          <w:sz w:val="22"/>
          <w:szCs w:val="22"/>
        </w:rPr>
        <w:t xml:space="preserve"> </w:t>
      </w:r>
      <w:r>
        <w:rPr>
          <w:rFonts w:ascii="sans-serif" w:hAnsi="sans-serif"/>
          <w:color w:val="000000"/>
          <w:sz w:val="22"/>
          <w:szCs w:val="22"/>
        </w:rPr>
        <w:t>avec les structures adhérentes, mettre en œuvre des</w:t>
      </w:r>
      <w:r>
        <w:rPr>
          <w:rFonts w:ascii="GillSans" w:hAnsi="GillSans"/>
          <w:color w:val="000000"/>
          <w:sz w:val="22"/>
          <w:szCs w:val="22"/>
        </w:rPr>
        <w:t xml:space="preserve"> </w:t>
      </w:r>
      <w:r>
        <w:rPr>
          <w:rFonts w:ascii="sans-serif" w:hAnsi="sans-serif"/>
          <w:color w:val="000000"/>
          <w:sz w:val="22"/>
          <w:szCs w:val="22"/>
        </w:rPr>
        <w:t>moyens de communication et d’écoute des élus locaux</w:t>
      </w:r>
      <w:r>
        <w:rPr>
          <w:rFonts w:ascii="GillSans" w:hAnsi="GillSans"/>
          <w:color w:val="000000"/>
          <w:sz w:val="22"/>
          <w:szCs w:val="22"/>
        </w:rPr>
        <w:t xml:space="preserve"> </w:t>
      </w:r>
      <w:r>
        <w:rPr>
          <w:rFonts w:ascii="sans-serif" w:hAnsi="sans-serif"/>
          <w:color w:val="000000"/>
          <w:sz w:val="22"/>
          <w:szCs w:val="22"/>
        </w:rPr>
        <w:t>et renforcer l’économie locale par la création d’emplois</w:t>
      </w:r>
      <w:r>
        <w:rPr>
          <w:rFonts w:ascii="GillSans" w:hAnsi="GillSans"/>
          <w:color w:val="000000"/>
          <w:sz w:val="22"/>
          <w:szCs w:val="22"/>
        </w:rPr>
        <w:t xml:space="preserve"> </w:t>
      </w:r>
      <w:r>
        <w:rPr>
          <w:rFonts w:ascii="sans-serif" w:hAnsi="sans-serif"/>
          <w:color w:val="000000"/>
          <w:sz w:val="22"/>
          <w:szCs w:val="22"/>
        </w:rPr>
        <w:t>(Économie Sociale et Solidaire).</w:t>
      </w:r>
      <w:r>
        <w:rPr>
          <w:rFonts w:ascii="GillSans" w:hAnsi="GillSans"/>
          <w:color w:val="000000"/>
          <w:sz w:val="22"/>
          <w:szCs w:val="22"/>
        </w:rPr>
        <w:br/>
      </w:r>
    </w:p>
    <w:p>
      <w:pPr>
        <w:pStyle w:val="Normal"/>
        <w:bidi w:val="0"/>
        <w:jc w:val="left"/>
        <w:rPr>
          <w:sz w:val="22"/>
          <w:szCs w:val="22"/>
        </w:rPr>
      </w:pPr>
      <w:r>
        <w:rPr>
          <w:rFonts w:ascii="GillSans" w:hAnsi="GillSans"/>
          <w:color w:val="000000"/>
          <w:sz w:val="22"/>
          <w:szCs w:val="22"/>
        </w:rPr>
        <w:t xml:space="preserve">- </w:t>
      </w:r>
      <w:r>
        <w:rPr>
          <w:rFonts w:ascii="sans-serif" w:hAnsi="sans-serif"/>
          <w:color w:val="000000"/>
          <w:sz w:val="22"/>
          <w:szCs w:val="22"/>
        </w:rPr>
        <w:t>Ajuster l’organisation du SMD3 aux évolutions prévues</w:t>
      </w:r>
      <w:r>
        <w:rPr>
          <w:rFonts w:ascii="GillSans" w:hAnsi="GillSans"/>
          <w:color w:val="000000"/>
          <w:sz w:val="22"/>
          <w:szCs w:val="22"/>
        </w:rPr>
        <w:t xml:space="preserve"> </w:t>
      </w:r>
      <w:r>
        <w:rPr>
          <w:rFonts w:ascii="sans-serif" w:hAnsi="sans-serif"/>
          <w:color w:val="000000"/>
          <w:sz w:val="22"/>
          <w:szCs w:val="22"/>
        </w:rPr>
        <w:t>:</w:t>
      </w:r>
      <w:r>
        <w:rPr>
          <w:rFonts w:ascii="GillSans" w:hAnsi="GillSans"/>
          <w:color w:val="000000"/>
          <w:sz w:val="22"/>
          <w:szCs w:val="22"/>
        </w:rPr>
        <w:t xml:space="preserve"> </w:t>
      </w:r>
      <w:r>
        <w:rPr>
          <w:rFonts w:ascii="sans-serif" w:hAnsi="sans-serif"/>
          <w:color w:val="000000"/>
          <w:sz w:val="22"/>
          <w:szCs w:val="22"/>
        </w:rPr>
        <w:t>développer</w:t>
      </w:r>
      <w:r>
        <w:rPr>
          <w:rFonts w:ascii="GillSans" w:hAnsi="GillSans"/>
          <w:color w:val="000000"/>
          <w:sz w:val="22"/>
          <w:szCs w:val="22"/>
        </w:rPr>
        <w:t xml:space="preserve"> </w:t>
      </w:r>
      <w:r>
        <w:rPr>
          <w:rFonts w:ascii="sans-serif" w:hAnsi="sans-serif"/>
          <w:color w:val="000000"/>
          <w:sz w:val="22"/>
          <w:szCs w:val="22"/>
        </w:rPr>
        <w:t>les</w:t>
      </w:r>
      <w:r>
        <w:rPr>
          <w:rFonts w:ascii="GillSans" w:hAnsi="GillSans"/>
          <w:color w:val="000000"/>
          <w:sz w:val="22"/>
          <w:szCs w:val="22"/>
        </w:rPr>
        <w:t xml:space="preserve"> </w:t>
      </w:r>
      <w:r>
        <w:rPr>
          <w:rFonts w:ascii="sans-serif" w:hAnsi="sans-serif"/>
          <w:color w:val="000000"/>
          <w:sz w:val="22"/>
          <w:szCs w:val="22"/>
        </w:rPr>
        <w:t>actions</w:t>
      </w:r>
      <w:r>
        <w:rPr>
          <w:rFonts w:ascii="GillSans" w:hAnsi="GillSans"/>
          <w:color w:val="000000"/>
          <w:sz w:val="22"/>
          <w:szCs w:val="22"/>
        </w:rPr>
        <w:t xml:space="preserve"> </w:t>
      </w:r>
      <w:r>
        <w:rPr>
          <w:rFonts w:ascii="sans-serif" w:hAnsi="sans-serif"/>
          <w:color w:val="000000"/>
          <w:sz w:val="22"/>
          <w:szCs w:val="22"/>
        </w:rPr>
        <w:t>d’évaluation, accompagner</w:t>
      </w:r>
      <w:r>
        <w:rPr>
          <w:rFonts w:ascii="GillSans" w:hAnsi="GillSans"/>
          <w:color w:val="000000"/>
          <w:sz w:val="22"/>
          <w:szCs w:val="22"/>
        </w:rPr>
        <w:t xml:space="preserve"> </w:t>
      </w:r>
      <w:r>
        <w:rPr>
          <w:rFonts w:ascii="sans-serif" w:hAnsi="sans-serif"/>
          <w:color w:val="000000"/>
          <w:sz w:val="22"/>
          <w:szCs w:val="22"/>
        </w:rPr>
        <w:t>les</w:t>
      </w:r>
      <w:r>
        <w:rPr>
          <w:rFonts w:ascii="GillSans" w:hAnsi="GillSans"/>
          <w:color w:val="000000"/>
          <w:sz w:val="22"/>
          <w:szCs w:val="22"/>
        </w:rPr>
        <w:t xml:space="preserve"> </w:t>
      </w:r>
      <w:r>
        <w:rPr>
          <w:rFonts w:ascii="sans-serif" w:hAnsi="sans-serif"/>
          <w:color w:val="000000"/>
          <w:sz w:val="22"/>
          <w:szCs w:val="22"/>
        </w:rPr>
        <w:t>équipes dans le changement, définir une stratégie de communication, renforcer la politique de qualité, développer</w:t>
      </w:r>
      <w:r>
        <w:rPr>
          <w:rFonts w:ascii="GillSans" w:hAnsi="GillSans"/>
          <w:color w:val="000000"/>
          <w:sz w:val="22"/>
          <w:szCs w:val="22"/>
        </w:rPr>
        <w:br/>
      </w:r>
      <w:r>
        <w:rPr>
          <w:rFonts w:ascii="sans-serif" w:hAnsi="sans-serif"/>
          <w:color w:val="000000"/>
          <w:sz w:val="22"/>
          <w:szCs w:val="22"/>
        </w:rPr>
        <w:t>une politique d’achat.</w:t>
      </w:r>
      <w:r>
        <w:rPr>
          <w:rFonts w:ascii="GillSans" w:hAnsi="GillSans"/>
          <w:color w:val="000000"/>
          <w:sz w:val="22"/>
          <w:szCs w:val="22"/>
        </w:rPr>
        <w:br/>
      </w:r>
    </w:p>
    <w:p>
      <w:pPr>
        <w:pStyle w:val="Normal"/>
        <w:bidi w:val="0"/>
        <w:jc w:val="left"/>
        <w:rPr>
          <w:sz w:val="22"/>
          <w:szCs w:val="22"/>
        </w:rPr>
      </w:pPr>
      <w:r>
        <w:rPr>
          <w:rFonts w:ascii="sans-serif" w:hAnsi="sans-serif"/>
          <w:color w:val="000000"/>
          <w:sz w:val="22"/>
          <w:szCs w:val="22"/>
        </w:rPr>
        <w:t>Le schéma prend en compte également des actions spécifiques du</w:t>
      </w:r>
      <w:r>
        <w:rPr>
          <w:rFonts w:ascii="GillSans" w:hAnsi="GillSans"/>
          <w:color w:val="000000"/>
          <w:sz w:val="22"/>
          <w:szCs w:val="22"/>
        </w:rPr>
        <w:t xml:space="preserve"> </w:t>
      </w:r>
      <w:r>
        <w:rPr>
          <w:rFonts w:ascii="sans-serif" w:hAnsi="sans-serif"/>
          <w:color w:val="000000"/>
          <w:sz w:val="22"/>
          <w:szCs w:val="22"/>
        </w:rPr>
        <w:t>Contrat d’Objectif Déchets Economie Circulaire validé par l’ADEME</w:t>
      </w:r>
      <w:r>
        <w:rPr>
          <w:rFonts w:ascii="GillSans" w:hAnsi="GillSans"/>
          <w:color w:val="000000"/>
          <w:sz w:val="22"/>
          <w:szCs w:val="22"/>
        </w:rPr>
        <w:t xml:space="preserve"> </w:t>
      </w:r>
      <w:r>
        <w:rPr>
          <w:rFonts w:ascii="sans-serif" w:hAnsi="sans-serif"/>
          <w:color w:val="000000"/>
          <w:sz w:val="22"/>
          <w:szCs w:val="22"/>
        </w:rPr>
        <w:t>en novembre 2017 pour la période 2018 – 2020 ainsi que le programme d’actions de la démarche ISO 14001.</w:t>
      </w:r>
      <w:r>
        <w:rPr>
          <w:rFonts w:ascii="GillSans" w:hAnsi="GillSans"/>
          <w:color w:val="000000"/>
          <w:sz w:val="22"/>
          <w:szCs w:val="22"/>
        </w:rPr>
        <w:br/>
        <w:br/>
      </w:r>
      <w:r>
        <w:rPr>
          <w:rFonts w:ascii="sans-serif" w:hAnsi="sans-serif"/>
          <w:color w:val="000000"/>
          <w:sz w:val="22"/>
          <w:szCs w:val="22"/>
        </w:rPr>
        <w:t>Sans attendre la finalité de la constitution du schéma, l’action A2-1 portant sur la tarification incitative a débuté en avril 2017 par un appel</w:t>
      </w:r>
      <w:r>
        <w:rPr>
          <w:rFonts w:ascii="GillSans" w:hAnsi="GillSans"/>
          <w:color w:val="000000"/>
          <w:sz w:val="22"/>
          <w:szCs w:val="22"/>
        </w:rPr>
        <w:t xml:space="preserve"> </w:t>
      </w:r>
      <w:r>
        <w:rPr>
          <w:rFonts w:ascii="sans-serif" w:hAnsi="sans-serif"/>
          <w:color w:val="000000"/>
          <w:sz w:val="22"/>
          <w:szCs w:val="22"/>
        </w:rPr>
        <w:t>à projet aux adhérents du SMD3 pour réaliser une étude de mise en œuvre d’un financement incitatif.</w:t>
      </w:r>
      <w:r>
        <w:rPr>
          <w:rFonts w:ascii="GillSans" w:hAnsi="GillSans"/>
          <w:color w:val="000000"/>
          <w:sz w:val="22"/>
          <w:szCs w:val="22"/>
        </w:rPr>
        <w:t xml:space="preserve"> </w:t>
      </w:r>
      <w:r>
        <w:rPr>
          <w:rFonts w:ascii="sans-serif" w:hAnsi="sans-serif"/>
          <w:color w:val="000000"/>
          <w:sz w:val="22"/>
          <w:szCs w:val="22"/>
        </w:rPr>
        <w:t>Quatre territoires</w:t>
      </w:r>
      <w:r>
        <w:rPr>
          <w:rFonts w:ascii="GillSans" w:hAnsi="GillSans"/>
          <w:color w:val="000000"/>
          <w:sz w:val="22"/>
          <w:szCs w:val="22"/>
        </w:rPr>
        <w:t xml:space="preserve"> </w:t>
      </w:r>
      <w:r>
        <w:rPr>
          <w:rFonts w:ascii="sans-serif" w:hAnsi="sans-serif"/>
          <w:color w:val="000000"/>
          <w:sz w:val="22"/>
          <w:szCs w:val="22"/>
        </w:rPr>
        <w:t>se sont portés</w:t>
      </w:r>
      <w:r>
        <w:rPr>
          <w:rFonts w:ascii="GillSans" w:hAnsi="GillSans"/>
          <w:color w:val="000000"/>
          <w:sz w:val="22"/>
          <w:szCs w:val="22"/>
        </w:rPr>
        <w:t xml:space="preserve"> </w:t>
      </w:r>
      <w:r>
        <w:rPr>
          <w:rFonts w:ascii="sans-serif" w:hAnsi="sans-serif"/>
          <w:color w:val="000000"/>
          <w:sz w:val="22"/>
          <w:szCs w:val="22"/>
        </w:rPr>
        <w:t>volontaires - le SYGED Bastides Forêt Bessède, le SMCTOM de Ribérac, les Communautés de Communes de Isle et Crempse en Périgord, et</w:t>
      </w:r>
      <w:r>
        <w:rPr>
          <w:rFonts w:ascii="GillSans" w:hAnsi="GillSans"/>
          <w:color w:val="000000"/>
          <w:sz w:val="22"/>
          <w:szCs w:val="22"/>
        </w:rPr>
        <w:t xml:space="preserve"> </w:t>
      </w:r>
      <w:r>
        <w:rPr>
          <w:rFonts w:ascii="sans-serif" w:hAnsi="sans-serif"/>
          <w:color w:val="000000"/>
          <w:sz w:val="22"/>
          <w:szCs w:val="22"/>
        </w:rPr>
        <w:t>Portes Sud Périgord – représentant près de</w:t>
      </w:r>
      <w:r>
        <w:rPr>
          <w:rFonts w:ascii="GillSans" w:hAnsi="GillSans"/>
          <w:color w:val="000000"/>
          <w:sz w:val="22"/>
          <w:szCs w:val="22"/>
        </w:rPr>
        <w:t xml:space="preserve"> </w:t>
      </w:r>
      <w:r>
        <w:rPr>
          <w:rFonts w:ascii="sans-serif" w:hAnsi="sans-serif"/>
          <w:color w:val="000000"/>
          <w:sz w:val="22"/>
          <w:szCs w:val="22"/>
        </w:rPr>
        <w:t xml:space="preserve">78 000 habitants. </w:t>
      </w:r>
    </w:p>
    <w:p>
      <w:pPr>
        <w:pStyle w:val="Normal"/>
        <w:bidi w:val="0"/>
        <w:jc w:val="left"/>
        <w:rPr>
          <w:rFonts w:ascii="sans-serif" w:hAnsi="sans-serif"/>
          <w:color w:val="000000"/>
          <w:sz w:val="22"/>
          <w:szCs w:val="22"/>
        </w:rPr>
      </w:pPr>
      <w:r>
        <w:rPr>
          <w:rFonts w:ascii="sans-serif" w:hAnsi="sans-serif"/>
          <w:color w:val="000000"/>
          <w:sz w:val="22"/>
          <w:szCs w:val="22"/>
        </w:rPr>
      </w:r>
    </w:p>
    <w:p>
      <w:pPr>
        <w:pStyle w:val="Normal"/>
        <w:bidi w:val="0"/>
        <w:jc w:val="left"/>
        <w:rPr>
          <w:sz w:val="22"/>
          <w:szCs w:val="22"/>
        </w:rPr>
      </w:pPr>
      <w:r>
        <w:rPr>
          <w:rFonts w:ascii="sans-serif" w:hAnsi="sans-serif"/>
          <w:color w:val="000000"/>
          <w:sz w:val="22"/>
          <w:szCs w:val="22"/>
        </w:rPr>
        <w:t>L</w:t>
      </w:r>
      <w:r>
        <w:rPr>
          <w:rFonts w:ascii="sans-serif" w:hAnsi="sans-serif"/>
          <w:b/>
          <w:bCs/>
          <w:color w:val="000000"/>
          <w:sz w:val="22"/>
          <w:szCs w:val="22"/>
        </w:rPr>
        <w:t>e bureau d’études Calia Conseil, accompagné de Girus, a été retenu pour</w:t>
      </w:r>
      <w:r>
        <w:rPr>
          <w:rFonts w:ascii="GillSans" w:hAnsi="GillSans"/>
          <w:b/>
          <w:bCs/>
          <w:color w:val="000000"/>
          <w:sz w:val="22"/>
          <w:szCs w:val="22"/>
        </w:rPr>
        <w:t xml:space="preserve"> </w:t>
      </w:r>
      <w:r>
        <w:rPr>
          <w:rFonts w:ascii="sans-serif" w:hAnsi="sans-serif"/>
          <w:b/>
          <w:bCs/>
          <w:color w:val="000000"/>
          <w:sz w:val="22"/>
          <w:szCs w:val="22"/>
        </w:rPr>
        <w:t>suivre cette étude qui a débuté en juillet 2017. Le marché à bons de commande donnera la possibilité à de nouveaux territoires de réaliser</w:t>
      </w:r>
      <w:r>
        <w:rPr>
          <w:rFonts w:ascii="GillSans" w:hAnsi="GillSans"/>
          <w:b/>
          <w:bCs/>
          <w:color w:val="000000"/>
          <w:sz w:val="22"/>
          <w:szCs w:val="22"/>
        </w:rPr>
        <w:t xml:space="preserve"> </w:t>
      </w:r>
      <w:r>
        <w:rPr>
          <w:rFonts w:ascii="sans-serif" w:hAnsi="sans-serif"/>
          <w:b/>
          <w:bCs/>
          <w:color w:val="000000"/>
          <w:sz w:val="22"/>
          <w:szCs w:val="22"/>
        </w:rPr>
        <w:t>cette étude. L’ADEME Nouvelle-Aquitaine soutient techniquement et financièrement cette opération à hauteur de 70%.</w:t>
      </w:r>
    </w:p>
    <w:p>
      <w:pPr>
        <w:pStyle w:val="Normal"/>
        <w:bidi w:val="0"/>
        <w:jc w:val="left"/>
        <w:rPr>
          <w:rFonts w:ascii="sans-serif" w:hAnsi="sans-serif"/>
          <w:b/>
          <w:b/>
          <w:bCs/>
          <w:color w:val="000000"/>
          <w:sz w:val="22"/>
          <w:szCs w:val="22"/>
        </w:rPr>
      </w:pPr>
      <w:r>
        <w:rPr>
          <w:rFonts w:ascii="sans-serif" w:hAnsi="sans-serif"/>
          <w:b/>
          <w:bCs/>
          <w:color w:val="000000"/>
          <w:sz w:val="22"/>
          <w:szCs w:val="22"/>
        </w:rPr>
      </w:r>
    </w:p>
    <w:p>
      <w:pPr>
        <w:pStyle w:val="Normal"/>
        <w:pBdr>
          <w:bottom w:val="single" w:sz="8" w:space="2" w:color="000000"/>
        </w:pBdr>
        <w:bidi w:val="0"/>
        <w:jc w:val="left"/>
        <w:rPr>
          <w:rFonts w:ascii="sans-serif" w:hAnsi="sans-serif"/>
          <w:b/>
          <w:b/>
          <w:bCs/>
          <w:color w:val="000000"/>
          <w:sz w:val="22"/>
          <w:szCs w:val="22"/>
        </w:rPr>
      </w:pPr>
      <w:r>
        <w:rPr>
          <w:rFonts w:ascii="sans-serif" w:hAnsi="sans-serif"/>
          <w:b/>
          <w:bCs/>
          <w:color w:val="000000"/>
          <w:sz w:val="22"/>
          <w:szCs w:val="22"/>
        </w:rPr>
      </w:r>
    </w:p>
    <w:p>
      <w:pPr>
        <w:pStyle w:val="Normal"/>
        <w:bidi w:val="0"/>
        <w:jc w:val="left"/>
        <w:rPr>
          <w:b/>
          <w:b/>
          <w:bCs/>
          <w:sz w:val="28"/>
          <w:szCs w:val="28"/>
          <w:u w:val="single"/>
        </w:rPr>
      </w:pPr>
      <w:r>
        <w:rPr>
          <w:b/>
          <w:bCs/>
          <w:sz w:val="28"/>
          <w:szCs w:val="28"/>
          <w:u w:val="single"/>
        </w:rPr>
      </w:r>
    </w:p>
    <w:p>
      <w:pPr>
        <w:pStyle w:val="Normal"/>
        <w:rPr>
          <w:b/>
          <w:b/>
          <w:bCs/>
          <w:sz w:val="30"/>
          <w:szCs w:val="30"/>
        </w:rPr>
      </w:pPr>
      <w:r>
        <w:rPr>
          <w:b/>
          <w:bCs/>
          <w:sz w:val="30"/>
          <w:szCs w:val="30"/>
          <w:u w:val="single"/>
        </w:rPr>
        <w:t>Déchets enfouis</w:t>
      </w:r>
      <w:r>
        <w:rPr>
          <w:b/>
          <w:bCs/>
          <w:sz w:val="30"/>
          <w:szCs w:val="30"/>
        </w:rPr>
        <w:t xml:space="preserve"> </w:t>
      </w:r>
      <w:r>
        <w:rPr>
          <w:b w:val="false"/>
          <w:bCs w:val="false"/>
          <w:sz w:val="24"/>
          <w:szCs w:val="24"/>
        </w:rPr>
        <w:drawing>
          <wp:anchor behindDoc="0" distT="0" distB="0" distL="0" distR="0" simplePos="0" locked="0" layoutInCell="0" allowOverlap="1" relativeHeight="9">
            <wp:simplePos x="0" y="0"/>
            <wp:positionH relativeFrom="column">
              <wp:posOffset>3147060</wp:posOffset>
            </wp:positionH>
            <wp:positionV relativeFrom="paragraph">
              <wp:posOffset>-542290</wp:posOffset>
            </wp:positionV>
            <wp:extent cx="3089275" cy="1724025"/>
            <wp:effectExtent l="0" t="0" r="0" b="0"/>
            <wp:wrapSquare wrapText="largest"/>
            <wp:docPr id="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descr=""/>
                    <pic:cNvPicPr>
                      <a:picLocks noChangeAspect="1" noChangeArrowheads="1"/>
                    </pic:cNvPicPr>
                  </pic:nvPicPr>
                  <pic:blipFill>
                    <a:blip r:embed="rId6"/>
                    <a:stretch>
                      <a:fillRect/>
                    </a:stretch>
                  </pic:blipFill>
                  <pic:spPr bwMode="auto">
                    <a:xfrm>
                      <a:off x="0" y="0"/>
                      <a:ext cx="3089275" cy="1724025"/>
                    </a:xfrm>
                    <a:prstGeom prst="rect">
                      <a:avLst/>
                    </a:prstGeom>
                  </pic:spPr>
                </pic:pic>
              </a:graphicData>
            </a:graphic>
          </wp:anchor>
        </w:drawing>
      </w:r>
      <w:r>
        <w:rPr>
          <w:b w:val="false"/>
          <w:bCs w:val="false"/>
          <w:sz w:val="24"/>
          <w:szCs w:val="24"/>
        </w:rPr>
        <w:t>(en rapport avec l'objectif de</w:t>
      </w:r>
    </w:p>
    <w:p>
      <w:pPr>
        <w:pStyle w:val="Normal"/>
        <w:rPr>
          <w:b w:val="false"/>
          <w:b w:val="false"/>
          <w:bCs w:val="false"/>
          <w:sz w:val="24"/>
          <w:szCs w:val="24"/>
        </w:rPr>
      </w:pPr>
      <w:r>
        <w:rPr>
          <w:b w:val="false"/>
          <w:bCs w:val="false"/>
          <w:sz w:val="24"/>
          <w:szCs w:val="24"/>
        </w:rPr>
      </w:r>
    </w:p>
    <w:p>
      <w:pPr>
        <w:pStyle w:val="Normal"/>
        <w:rPr>
          <w:b/>
          <w:b/>
          <w:bCs/>
          <w:sz w:val="30"/>
          <w:szCs w:val="30"/>
        </w:rPr>
      </w:pPr>
      <w:r>
        <w:rPr>
          <w:b w:val="false"/>
          <w:bCs w:val="false"/>
          <w:i/>
          <w:iCs/>
          <w:sz w:val="24"/>
          <w:szCs w:val="24"/>
        </w:rPr>
        <w:t xml:space="preserve">La comptabilité des OMR sur les RA (rapports annuels) est variable </w:t>
      </w:r>
      <w:r>
        <w:rPr>
          <w:b w:val="false"/>
          <w:bCs w:val="false"/>
          <w:i/>
          <w:iCs/>
          <w:sz w:val="24"/>
          <w:szCs w:val="24"/>
        </w:rPr>
        <w:t xml:space="preserve">et se situe autour </w:t>
      </w:r>
      <w:r>
        <w:rPr>
          <w:b w:val="false"/>
          <w:bCs w:val="false"/>
          <w:i/>
          <w:iCs/>
          <w:sz w:val="24"/>
          <w:szCs w:val="24"/>
        </w:rPr>
        <w:t>d</w:t>
      </w:r>
      <w:r>
        <w:rPr>
          <w:b w:val="false"/>
          <w:bCs w:val="false"/>
          <w:i/>
          <w:iCs/>
          <w:sz w:val="24"/>
          <w:szCs w:val="24"/>
        </w:rPr>
        <w:t xml:space="preserve">e 10 000t en dessous </w:t>
      </w:r>
      <w:r>
        <w:rPr>
          <w:b w:val="false"/>
          <w:bCs w:val="false"/>
          <w:i/>
          <w:iCs/>
          <w:sz w:val="24"/>
          <w:szCs w:val="24"/>
        </w:rPr>
        <w:t>des volumes ci-après</w:t>
      </w:r>
      <w:r>
        <w:rPr>
          <w:b w:val="false"/>
          <w:bCs w:val="false"/>
          <w:i/>
          <w:iCs/>
          <w:sz w:val="24"/>
          <w:szCs w:val="24"/>
        </w:rPr>
        <w:t>.</w:t>
      </w:r>
      <w:r>
        <w:rPr>
          <w:b w:val="false"/>
          <w:bCs w:val="false"/>
          <w:sz w:val="24"/>
          <w:szCs w:val="24"/>
        </w:rPr>
        <w:t xml:space="preserve"> </w:t>
      </w:r>
    </w:p>
    <w:p>
      <w:pPr>
        <w:pStyle w:val="Normal"/>
        <w:rPr>
          <w:b/>
          <w:b/>
          <w:bCs/>
          <w:sz w:val="30"/>
          <w:szCs w:val="30"/>
        </w:rPr>
      </w:pPr>
      <w:r>
        <w:rPr>
          <w:b w:val="false"/>
          <w:bCs w:val="false"/>
          <w:sz w:val="21"/>
          <w:szCs w:val="21"/>
        </w:rPr>
        <w:t xml:space="preserve">Ce qui n'enlève en rien la non-atteinte de l'objectif de 86 000 t en 2020 et, </w:t>
      </w:r>
      <w:r>
        <w:rPr>
          <w:b w:val="false"/>
          <w:bCs w:val="false"/>
          <w:sz w:val="21"/>
          <w:szCs w:val="21"/>
        </w:rPr>
        <w:t>certainemet,</w:t>
      </w:r>
      <w:r>
        <w:rPr>
          <w:b w:val="false"/>
          <w:bCs w:val="false"/>
          <w:sz w:val="21"/>
          <w:szCs w:val="21"/>
        </w:rPr>
        <w:t xml:space="preserve"> celui de 61 000 en 2025.</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tbl>
      <w:tblPr>
        <w:tblW w:w="5000" w:type="pct"/>
        <w:jc w:val="left"/>
        <w:tblInd w:w="0" w:type="dxa"/>
        <w:tblLayout w:type="fixed"/>
        <w:tblCellMar>
          <w:top w:w="55" w:type="dxa"/>
          <w:left w:w="55" w:type="dxa"/>
          <w:bottom w:w="55" w:type="dxa"/>
          <w:right w:w="55" w:type="dxa"/>
        </w:tblCellMar>
      </w:tblPr>
      <w:tblGrid>
        <w:gridCol w:w="1311"/>
        <w:gridCol w:w="1311"/>
        <w:gridCol w:w="1311"/>
        <w:gridCol w:w="1311"/>
        <w:gridCol w:w="1311"/>
        <w:gridCol w:w="1311"/>
        <w:gridCol w:w="1311"/>
        <w:gridCol w:w="1313"/>
      </w:tblGrid>
      <w:tr>
        <w:trPr/>
        <w:tc>
          <w:tcPr>
            <w:tcW w:w="1311" w:type="dxa"/>
            <w:tcBorders>
              <w:top w:val="single" w:sz="2" w:space="0" w:color="000000"/>
              <w:left w:val="single" w:sz="2" w:space="0" w:color="000000"/>
              <w:bottom w:val="single" w:sz="2" w:space="0" w:color="000000"/>
            </w:tcBorders>
          </w:tcPr>
          <w:p>
            <w:pPr>
              <w:pStyle w:val="Contenudetableau"/>
              <w:jc w:val="center"/>
              <w:rPr>
                <w:sz w:val="26"/>
                <w:szCs w:val="26"/>
              </w:rPr>
            </w:pPr>
            <w:r>
              <w:rPr>
                <w:sz w:val="26"/>
                <w:szCs w:val="26"/>
              </w:rPr>
              <w:t>2014</w:t>
            </w:r>
          </w:p>
        </w:tc>
        <w:tc>
          <w:tcPr>
            <w:tcW w:w="1311" w:type="dxa"/>
            <w:tcBorders>
              <w:top w:val="single" w:sz="2" w:space="0" w:color="000000"/>
              <w:left w:val="single" w:sz="2" w:space="0" w:color="000000"/>
              <w:bottom w:val="single" w:sz="2" w:space="0" w:color="000000"/>
            </w:tcBorders>
          </w:tcPr>
          <w:p>
            <w:pPr>
              <w:pStyle w:val="Contenudetableau"/>
              <w:jc w:val="center"/>
              <w:rPr>
                <w:sz w:val="26"/>
                <w:szCs w:val="26"/>
              </w:rPr>
            </w:pPr>
            <w:r>
              <w:rPr>
                <w:sz w:val="26"/>
                <w:szCs w:val="26"/>
              </w:rPr>
              <w:t>2015</w:t>
            </w:r>
          </w:p>
        </w:tc>
        <w:tc>
          <w:tcPr>
            <w:tcW w:w="1311" w:type="dxa"/>
            <w:tcBorders>
              <w:top w:val="single" w:sz="2" w:space="0" w:color="000000"/>
              <w:left w:val="single" w:sz="2" w:space="0" w:color="000000"/>
              <w:bottom w:val="single" w:sz="2" w:space="0" w:color="000000"/>
            </w:tcBorders>
          </w:tcPr>
          <w:p>
            <w:pPr>
              <w:pStyle w:val="Contenudetableau"/>
              <w:jc w:val="center"/>
              <w:rPr>
                <w:sz w:val="26"/>
                <w:szCs w:val="26"/>
              </w:rPr>
            </w:pPr>
            <w:r>
              <w:rPr>
                <w:sz w:val="26"/>
                <w:szCs w:val="26"/>
              </w:rPr>
              <w:t>2016</w:t>
            </w:r>
          </w:p>
        </w:tc>
        <w:tc>
          <w:tcPr>
            <w:tcW w:w="1311" w:type="dxa"/>
            <w:tcBorders>
              <w:top w:val="single" w:sz="2" w:space="0" w:color="000000"/>
              <w:left w:val="single" w:sz="2" w:space="0" w:color="000000"/>
              <w:bottom w:val="single" w:sz="2" w:space="0" w:color="000000"/>
            </w:tcBorders>
          </w:tcPr>
          <w:p>
            <w:pPr>
              <w:pStyle w:val="Contenudetableau"/>
              <w:jc w:val="center"/>
              <w:rPr>
                <w:sz w:val="26"/>
                <w:szCs w:val="26"/>
              </w:rPr>
            </w:pPr>
            <w:r>
              <w:rPr>
                <w:sz w:val="26"/>
                <w:szCs w:val="26"/>
              </w:rPr>
              <w:t>2017</w:t>
            </w:r>
          </w:p>
        </w:tc>
        <w:tc>
          <w:tcPr>
            <w:tcW w:w="1311" w:type="dxa"/>
            <w:tcBorders>
              <w:top w:val="single" w:sz="2" w:space="0" w:color="000000"/>
              <w:left w:val="single" w:sz="2" w:space="0" w:color="000000"/>
              <w:bottom w:val="single" w:sz="2" w:space="0" w:color="000000"/>
            </w:tcBorders>
          </w:tcPr>
          <w:p>
            <w:pPr>
              <w:pStyle w:val="Contenudetableau"/>
              <w:jc w:val="center"/>
              <w:rPr>
                <w:sz w:val="26"/>
                <w:szCs w:val="26"/>
              </w:rPr>
            </w:pPr>
            <w:r>
              <w:rPr>
                <w:sz w:val="26"/>
                <w:szCs w:val="26"/>
              </w:rPr>
              <w:t>2018</w:t>
            </w:r>
          </w:p>
        </w:tc>
        <w:tc>
          <w:tcPr>
            <w:tcW w:w="1311" w:type="dxa"/>
            <w:tcBorders>
              <w:top w:val="single" w:sz="2" w:space="0" w:color="000000"/>
              <w:left w:val="single" w:sz="2" w:space="0" w:color="000000"/>
              <w:bottom w:val="single" w:sz="2" w:space="0" w:color="000000"/>
            </w:tcBorders>
          </w:tcPr>
          <w:p>
            <w:pPr>
              <w:pStyle w:val="Contenudetableau"/>
              <w:jc w:val="center"/>
              <w:rPr>
                <w:sz w:val="26"/>
                <w:szCs w:val="26"/>
              </w:rPr>
            </w:pPr>
            <w:r>
              <w:rPr>
                <w:sz w:val="26"/>
                <w:szCs w:val="26"/>
              </w:rPr>
              <w:t>2019</w:t>
            </w:r>
          </w:p>
        </w:tc>
        <w:tc>
          <w:tcPr>
            <w:tcW w:w="1311" w:type="dxa"/>
            <w:tcBorders>
              <w:top w:val="single" w:sz="2" w:space="0" w:color="000000"/>
              <w:left w:val="single" w:sz="2" w:space="0" w:color="000000"/>
              <w:bottom w:val="single" w:sz="2" w:space="0" w:color="000000"/>
            </w:tcBorders>
          </w:tcPr>
          <w:p>
            <w:pPr>
              <w:pStyle w:val="Contenudetableau"/>
              <w:jc w:val="center"/>
              <w:rPr>
                <w:sz w:val="26"/>
                <w:szCs w:val="26"/>
              </w:rPr>
            </w:pPr>
            <w:r>
              <w:rPr>
                <w:sz w:val="26"/>
                <w:szCs w:val="26"/>
              </w:rPr>
              <w:t>202</w:t>
            </w:r>
            <w:r>
              <w:rPr>
                <w:sz w:val="26"/>
                <w:szCs w:val="26"/>
              </w:rPr>
              <w:t>0</w:t>
            </w:r>
          </w:p>
        </w:tc>
        <w:tc>
          <w:tcPr>
            <w:tcW w:w="1313" w:type="dxa"/>
            <w:tcBorders>
              <w:top w:val="single" w:sz="2" w:space="0" w:color="000000"/>
              <w:left w:val="single" w:sz="2" w:space="0" w:color="000000"/>
              <w:bottom w:val="single" w:sz="2" w:space="0" w:color="000000"/>
              <w:right w:val="single" w:sz="2" w:space="0" w:color="000000"/>
            </w:tcBorders>
          </w:tcPr>
          <w:p>
            <w:pPr>
              <w:pStyle w:val="Contenudetableau"/>
              <w:jc w:val="center"/>
              <w:rPr>
                <w:sz w:val="26"/>
                <w:szCs w:val="26"/>
              </w:rPr>
            </w:pPr>
            <w:r>
              <w:rPr>
                <w:sz w:val="26"/>
                <w:szCs w:val="26"/>
              </w:rPr>
              <w:t>2021</w:t>
            </w:r>
          </w:p>
        </w:tc>
      </w:tr>
      <w:tr>
        <w:trPr/>
        <w:tc>
          <w:tcPr>
            <w:tcW w:w="1311" w:type="dxa"/>
            <w:tcBorders>
              <w:left w:val="single" w:sz="2" w:space="0" w:color="000000"/>
              <w:bottom w:val="single" w:sz="2" w:space="0" w:color="000000"/>
            </w:tcBorders>
          </w:tcPr>
          <w:p>
            <w:pPr>
              <w:pStyle w:val="Contenudetableau"/>
              <w:jc w:val="center"/>
              <w:rPr>
                <w:sz w:val="30"/>
                <w:szCs w:val="30"/>
              </w:rPr>
            </w:pPr>
            <w:r>
              <w:rPr>
                <w:sz w:val="30"/>
                <w:szCs w:val="30"/>
              </w:rPr>
              <w:t>105 600t</w:t>
            </w:r>
          </w:p>
        </w:tc>
        <w:tc>
          <w:tcPr>
            <w:tcW w:w="1311" w:type="dxa"/>
            <w:tcBorders>
              <w:left w:val="single" w:sz="2" w:space="0" w:color="000000"/>
              <w:bottom w:val="single" w:sz="2" w:space="0" w:color="000000"/>
            </w:tcBorders>
          </w:tcPr>
          <w:p>
            <w:pPr>
              <w:pStyle w:val="Contenudetableau"/>
              <w:jc w:val="center"/>
              <w:rPr>
                <w:sz w:val="30"/>
                <w:szCs w:val="30"/>
              </w:rPr>
            </w:pPr>
            <w:r>
              <w:rPr>
                <w:sz w:val="30"/>
                <w:szCs w:val="30"/>
              </w:rPr>
              <w:t>105 700t</w:t>
            </w:r>
          </w:p>
        </w:tc>
        <w:tc>
          <w:tcPr>
            <w:tcW w:w="1311" w:type="dxa"/>
            <w:tcBorders>
              <w:left w:val="single" w:sz="2" w:space="0" w:color="000000"/>
              <w:bottom w:val="single" w:sz="2" w:space="0" w:color="000000"/>
            </w:tcBorders>
          </w:tcPr>
          <w:p>
            <w:pPr>
              <w:pStyle w:val="Contenudetableau"/>
              <w:jc w:val="center"/>
              <w:rPr>
                <w:sz w:val="30"/>
                <w:szCs w:val="30"/>
              </w:rPr>
            </w:pPr>
            <w:r>
              <w:rPr>
                <w:sz w:val="30"/>
                <w:szCs w:val="30"/>
              </w:rPr>
              <w:t>103 600t</w:t>
            </w:r>
          </w:p>
        </w:tc>
        <w:tc>
          <w:tcPr>
            <w:tcW w:w="1311" w:type="dxa"/>
            <w:tcBorders>
              <w:left w:val="single" w:sz="2" w:space="0" w:color="000000"/>
              <w:bottom w:val="single" w:sz="2" w:space="0" w:color="000000"/>
            </w:tcBorders>
          </w:tcPr>
          <w:p>
            <w:pPr>
              <w:pStyle w:val="Contenudetableau"/>
              <w:jc w:val="center"/>
              <w:rPr>
                <w:sz w:val="30"/>
                <w:szCs w:val="30"/>
              </w:rPr>
            </w:pPr>
            <w:r>
              <w:rPr>
                <w:sz w:val="30"/>
                <w:szCs w:val="30"/>
              </w:rPr>
              <w:t>104 900t</w:t>
            </w:r>
          </w:p>
          <w:p>
            <w:pPr>
              <w:pStyle w:val="Contenudetableau"/>
              <w:jc w:val="left"/>
              <w:rPr>
                <w:sz w:val="18"/>
                <w:szCs w:val="18"/>
              </w:rPr>
            </w:pPr>
            <w:r>
              <w:rPr>
                <w:sz w:val="18"/>
                <w:szCs w:val="18"/>
              </w:rPr>
              <w:t>autres chiffres</w:t>
            </w:r>
          </w:p>
          <w:p>
            <w:pPr>
              <w:pStyle w:val="Contenudetableau"/>
              <w:jc w:val="center"/>
              <w:rPr>
                <w:sz w:val="18"/>
                <w:szCs w:val="18"/>
              </w:rPr>
            </w:pPr>
            <w:r>
              <w:rPr>
                <w:b w:val="false"/>
                <w:bCs w:val="false"/>
                <w:sz w:val="18"/>
                <w:szCs w:val="18"/>
              </w:rPr>
              <w:t xml:space="preserve">déchets </w:t>
            </w:r>
            <w:r>
              <w:rPr>
                <w:b/>
                <w:bCs/>
                <w:sz w:val="22"/>
                <w:szCs w:val="22"/>
              </w:rPr>
              <w:t>598</w:t>
            </w:r>
            <w:r>
              <w:rPr>
                <w:sz w:val="22"/>
                <w:szCs w:val="22"/>
              </w:rPr>
              <w:t xml:space="preserve"> </w:t>
            </w:r>
            <w:r>
              <w:rPr>
                <w:sz w:val="18"/>
                <w:szCs w:val="18"/>
              </w:rPr>
              <w:t>kg/hab/an</w:t>
            </w:r>
          </w:p>
          <w:p>
            <w:pPr>
              <w:pStyle w:val="Contenudetableau"/>
              <w:jc w:val="center"/>
              <w:rPr>
                <w:sz w:val="18"/>
                <w:szCs w:val="18"/>
              </w:rPr>
            </w:pPr>
            <w:r>
              <w:rPr>
                <w:sz w:val="18"/>
                <w:szCs w:val="18"/>
              </w:rPr>
              <w:t>dont 2</w:t>
            </w:r>
            <w:r>
              <w:rPr>
                <w:sz w:val="18"/>
                <w:szCs w:val="18"/>
              </w:rPr>
              <w:t>33 kg</w:t>
            </w:r>
            <w:r>
              <w:rPr>
                <w:sz w:val="18"/>
                <w:szCs w:val="18"/>
              </w:rPr>
              <w:t xml:space="preserve"> d'OMR </w:t>
            </w:r>
          </w:p>
          <w:p>
            <w:pPr>
              <w:pStyle w:val="Contenudetableau"/>
              <w:jc w:val="center"/>
              <w:rPr>
                <w:sz w:val="18"/>
                <w:szCs w:val="18"/>
              </w:rPr>
            </w:pPr>
            <w:r>
              <w:rPr>
                <w:sz w:val="18"/>
                <w:szCs w:val="18"/>
                <w:u w:val="single"/>
              </w:rPr>
              <w:t>TGAP</w:t>
            </w:r>
            <w:r>
              <w:rPr>
                <w:sz w:val="18"/>
                <w:szCs w:val="18"/>
              </w:rPr>
              <w:t> : 17€/t</w:t>
            </w:r>
          </w:p>
          <w:p>
            <w:pPr>
              <w:pStyle w:val="Contenudetableau"/>
              <w:jc w:val="center"/>
              <w:rPr>
                <w:sz w:val="18"/>
                <w:szCs w:val="18"/>
              </w:rPr>
            </w:pPr>
            <w:r>
              <w:rPr>
                <w:sz w:val="18"/>
                <w:szCs w:val="18"/>
                <w:u w:val="single"/>
              </w:rPr>
              <w:t>budget :</w:t>
            </w:r>
            <w:r>
              <w:rPr>
                <w:sz w:val="18"/>
                <w:szCs w:val="18"/>
              </w:rPr>
              <w:t xml:space="preserve"> 70€/hab</w:t>
            </w:r>
          </w:p>
        </w:tc>
        <w:tc>
          <w:tcPr>
            <w:tcW w:w="1311" w:type="dxa"/>
            <w:tcBorders>
              <w:left w:val="single" w:sz="2" w:space="0" w:color="000000"/>
              <w:bottom w:val="single" w:sz="2" w:space="0" w:color="000000"/>
            </w:tcBorders>
          </w:tcPr>
          <w:p>
            <w:pPr>
              <w:pStyle w:val="Contenudetableau"/>
              <w:jc w:val="center"/>
              <w:rPr>
                <w:sz w:val="30"/>
                <w:szCs w:val="30"/>
              </w:rPr>
            </w:pPr>
            <w:r>
              <w:rPr>
                <w:sz w:val="30"/>
                <w:szCs w:val="30"/>
              </w:rPr>
              <w:t>117 000t</w:t>
            </w:r>
          </w:p>
          <w:p>
            <w:pPr>
              <w:pStyle w:val="Contenudetableau"/>
              <w:jc w:val="left"/>
              <w:rPr>
                <w:sz w:val="18"/>
                <w:szCs w:val="18"/>
              </w:rPr>
            </w:pPr>
            <w:r>
              <w:rPr>
                <w:sz w:val="18"/>
                <w:szCs w:val="18"/>
              </w:rPr>
              <w:t>autres chiffres</w:t>
            </w:r>
          </w:p>
          <w:p>
            <w:pPr>
              <w:pStyle w:val="Contenudetableau"/>
              <w:jc w:val="left"/>
              <w:rPr>
                <w:sz w:val="22"/>
                <w:szCs w:val="22"/>
              </w:rPr>
            </w:pPr>
            <w:r>
              <w:rPr>
                <w:sz w:val="22"/>
                <w:szCs w:val="22"/>
              </w:rPr>
            </w:r>
          </w:p>
          <w:p>
            <w:pPr>
              <w:pStyle w:val="Contenudetableau"/>
              <w:jc w:val="center"/>
              <w:rPr>
                <w:sz w:val="22"/>
                <w:szCs w:val="22"/>
              </w:rPr>
            </w:pPr>
            <w:r>
              <w:rPr>
                <w:sz w:val="22"/>
                <w:szCs w:val="22"/>
              </w:rPr>
            </w:r>
          </w:p>
          <w:p>
            <w:pPr>
              <w:pStyle w:val="Contenudetableau"/>
              <w:jc w:val="center"/>
              <w:rPr>
                <w:sz w:val="18"/>
                <w:szCs w:val="18"/>
                <w:u w:val="single"/>
              </w:rPr>
            </w:pPr>
            <w:r>
              <w:rPr>
                <w:sz w:val="18"/>
                <w:szCs w:val="18"/>
                <w:u w:val="single"/>
              </w:rPr>
            </w:r>
          </w:p>
          <w:p>
            <w:pPr>
              <w:pStyle w:val="Contenudetableau"/>
              <w:jc w:val="center"/>
              <w:rPr>
                <w:sz w:val="18"/>
                <w:szCs w:val="18"/>
              </w:rPr>
            </w:pPr>
            <w:r>
              <w:rPr>
                <w:sz w:val="18"/>
                <w:szCs w:val="18"/>
              </w:rPr>
            </w:r>
          </w:p>
          <w:p>
            <w:pPr>
              <w:pStyle w:val="Contenudetableau"/>
              <w:jc w:val="center"/>
              <w:rPr>
                <w:sz w:val="18"/>
                <w:szCs w:val="18"/>
              </w:rPr>
            </w:pPr>
            <w:r>
              <w:rPr>
                <w:sz w:val="18"/>
                <w:szCs w:val="18"/>
                <w:u w:val="single"/>
              </w:rPr>
              <w:t>budget :</w:t>
            </w:r>
            <w:r>
              <w:rPr>
                <w:sz w:val="18"/>
                <w:szCs w:val="18"/>
              </w:rPr>
              <w:t xml:space="preserve"> 71€/hab</w:t>
            </w:r>
          </w:p>
        </w:tc>
        <w:tc>
          <w:tcPr>
            <w:tcW w:w="1311" w:type="dxa"/>
            <w:tcBorders>
              <w:left w:val="single" w:sz="2" w:space="0" w:color="000000"/>
              <w:bottom w:val="single" w:sz="2" w:space="0" w:color="000000"/>
            </w:tcBorders>
          </w:tcPr>
          <w:p>
            <w:pPr>
              <w:pStyle w:val="Contenudetableau"/>
              <w:jc w:val="center"/>
              <w:rPr>
                <w:sz w:val="30"/>
                <w:szCs w:val="30"/>
              </w:rPr>
            </w:pPr>
            <w:r>
              <w:rPr>
                <w:sz w:val="30"/>
                <w:szCs w:val="30"/>
              </w:rPr>
              <w:t>111 000</w:t>
            </w:r>
            <w:r>
              <w:rPr>
                <w:sz w:val="30"/>
                <w:szCs w:val="30"/>
              </w:rPr>
              <w:t>t</w:t>
            </w:r>
          </w:p>
          <w:p>
            <w:pPr>
              <w:pStyle w:val="Contenudetableau"/>
              <w:jc w:val="left"/>
              <w:rPr>
                <w:sz w:val="18"/>
                <w:szCs w:val="18"/>
              </w:rPr>
            </w:pPr>
            <w:r>
              <w:rPr>
                <w:sz w:val="18"/>
                <w:szCs w:val="18"/>
              </w:rPr>
              <w:t>autres chiffres</w:t>
            </w:r>
          </w:p>
          <w:p>
            <w:pPr>
              <w:pStyle w:val="Contenudetableau"/>
              <w:jc w:val="center"/>
              <w:rPr>
                <w:sz w:val="18"/>
                <w:szCs w:val="18"/>
              </w:rPr>
            </w:pPr>
            <w:r>
              <w:rPr>
                <w:b w:val="false"/>
                <w:bCs w:val="false"/>
                <w:sz w:val="18"/>
                <w:szCs w:val="18"/>
              </w:rPr>
              <w:t xml:space="preserve">déchets </w:t>
            </w:r>
            <w:r>
              <w:rPr>
                <w:b/>
                <w:bCs/>
                <w:sz w:val="22"/>
                <w:szCs w:val="22"/>
              </w:rPr>
              <w:t>614</w:t>
            </w:r>
            <w:r>
              <w:rPr>
                <w:sz w:val="22"/>
                <w:szCs w:val="22"/>
              </w:rPr>
              <w:t xml:space="preserve"> </w:t>
            </w:r>
            <w:r>
              <w:rPr>
                <w:sz w:val="18"/>
                <w:szCs w:val="18"/>
              </w:rPr>
              <w:t>kg/hab/an</w:t>
            </w:r>
          </w:p>
          <w:p>
            <w:pPr>
              <w:pStyle w:val="Contenudetableau"/>
              <w:jc w:val="center"/>
              <w:rPr>
                <w:sz w:val="18"/>
                <w:szCs w:val="18"/>
              </w:rPr>
            </w:pPr>
            <w:r>
              <w:rPr>
                <w:sz w:val="18"/>
                <w:szCs w:val="18"/>
              </w:rPr>
            </w:r>
          </w:p>
          <w:p>
            <w:pPr>
              <w:pStyle w:val="Contenudetableau"/>
              <w:jc w:val="center"/>
              <w:rPr>
                <w:sz w:val="22"/>
                <w:szCs w:val="22"/>
              </w:rPr>
            </w:pPr>
            <w:r>
              <w:rPr>
                <w:sz w:val="22"/>
                <w:szCs w:val="22"/>
              </w:rPr>
            </w:r>
          </w:p>
          <w:p>
            <w:pPr>
              <w:pStyle w:val="Contenudetableau"/>
              <w:jc w:val="center"/>
              <w:rPr>
                <w:sz w:val="18"/>
                <w:szCs w:val="18"/>
              </w:rPr>
            </w:pPr>
            <w:r>
              <w:rPr>
                <w:sz w:val="18"/>
                <w:szCs w:val="18"/>
              </w:rPr>
            </w:r>
          </w:p>
          <w:p>
            <w:pPr>
              <w:pStyle w:val="Contenudetableau"/>
              <w:jc w:val="center"/>
              <w:rPr>
                <w:sz w:val="14"/>
                <w:szCs w:val="14"/>
              </w:rPr>
            </w:pPr>
            <w:r>
              <w:rPr>
                <w:sz w:val="14"/>
                <w:szCs w:val="14"/>
              </w:rPr>
            </w:r>
          </w:p>
        </w:tc>
        <w:tc>
          <w:tcPr>
            <w:tcW w:w="1311" w:type="dxa"/>
            <w:tcBorders>
              <w:left w:val="single" w:sz="2" w:space="0" w:color="000000"/>
              <w:bottom w:val="single" w:sz="2" w:space="0" w:color="000000"/>
            </w:tcBorders>
          </w:tcPr>
          <w:p>
            <w:pPr>
              <w:pStyle w:val="Contenudetableau"/>
              <w:jc w:val="center"/>
              <w:rPr>
                <w:sz w:val="30"/>
                <w:szCs w:val="30"/>
              </w:rPr>
            </w:pPr>
            <w:r>
              <w:rPr>
                <w:sz w:val="30"/>
                <w:szCs w:val="30"/>
              </w:rPr>
              <w:t>103 500t</w:t>
            </w:r>
          </w:p>
          <w:p>
            <w:pPr>
              <w:pStyle w:val="Contenudetableau"/>
              <w:jc w:val="left"/>
              <w:rPr>
                <w:sz w:val="18"/>
                <w:szCs w:val="18"/>
              </w:rPr>
            </w:pPr>
            <w:r>
              <w:rPr>
                <w:sz w:val="18"/>
                <w:szCs w:val="18"/>
              </w:rPr>
              <w:t>autres chiffres</w:t>
            </w:r>
          </w:p>
          <w:p>
            <w:pPr>
              <w:pStyle w:val="Contenudetableau"/>
              <w:jc w:val="center"/>
              <w:rPr>
                <w:sz w:val="14"/>
                <w:szCs w:val="14"/>
              </w:rPr>
            </w:pPr>
            <w:r>
              <w:rPr>
                <w:sz w:val="14"/>
                <w:szCs w:val="14"/>
              </w:rPr>
            </w:r>
          </w:p>
          <w:p>
            <w:pPr>
              <w:pStyle w:val="Contenudetableau"/>
              <w:jc w:val="center"/>
              <w:rPr>
                <w:sz w:val="14"/>
                <w:szCs w:val="14"/>
              </w:rPr>
            </w:pPr>
            <w:r>
              <w:rPr>
                <w:sz w:val="14"/>
                <w:szCs w:val="14"/>
              </w:rPr>
            </w:r>
          </w:p>
          <w:p>
            <w:pPr>
              <w:pStyle w:val="Contenudetableau"/>
              <w:jc w:val="center"/>
              <w:rPr>
                <w:sz w:val="14"/>
                <w:szCs w:val="14"/>
              </w:rPr>
            </w:pPr>
            <w:r>
              <w:rPr>
                <w:sz w:val="14"/>
                <w:szCs w:val="14"/>
              </w:rPr>
            </w:r>
          </w:p>
          <w:p>
            <w:pPr>
              <w:pStyle w:val="Contenudetableau"/>
              <w:jc w:val="center"/>
              <w:rPr>
                <w:sz w:val="14"/>
                <w:szCs w:val="14"/>
              </w:rPr>
            </w:pPr>
            <w:r>
              <w:rPr>
                <w:sz w:val="14"/>
                <w:szCs w:val="14"/>
              </w:rPr>
            </w:r>
          </w:p>
          <w:p>
            <w:pPr>
              <w:pStyle w:val="Contenudetableau"/>
              <w:jc w:val="center"/>
              <w:rPr>
                <w:sz w:val="14"/>
                <w:szCs w:val="14"/>
              </w:rPr>
            </w:pPr>
            <w:r>
              <w:rPr>
                <w:sz w:val="18"/>
                <w:szCs w:val="18"/>
                <w:u w:val="single"/>
              </w:rPr>
              <w:t>TGAP</w:t>
            </w:r>
            <w:r>
              <w:rPr>
                <w:sz w:val="18"/>
                <w:szCs w:val="18"/>
              </w:rPr>
              <w:t> : 1</w:t>
            </w:r>
            <w:r>
              <w:rPr>
                <w:sz w:val="18"/>
                <w:szCs w:val="18"/>
              </w:rPr>
              <w:t>8</w:t>
            </w:r>
            <w:r>
              <w:rPr>
                <w:sz w:val="18"/>
                <w:szCs w:val="18"/>
              </w:rPr>
              <w:t>€/t</w:t>
            </w:r>
          </w:p>
          <w:p>
            <w:pPr>
              <w:pStyle w:val="Contenudetableau"/>
              <w:jc w:val="center"/>
              <w:rPr>
                <w:sz w:val="18"/>
                <w:szCs w:val="18"/>
              </w:rPr>
            </w:pPr>
            <w:r>
              <w:rPr>
                <w:sz w:val="18"/>
                <w:szCs w:val="18"/>
              </w:rPr>
            </w:r>
          </w:p>
          <w:p>
            <w:pPr>
              <w:pStyle w:val="Contenudetableau"/>
              <w:jc w:val="center"/>
              <w:rPr>
                <w:sz w:val="18"/>
                <w:szCs w:val="18"/>
              </w:rPr>
            </w:pPr>
            <w:r>
              <w:rPr>
                <w:sz w:val="18"/>
                <w:szCs w:val="18"/>
                <w:u w:val="single"/>
              </w:rPr>
              <w:t>budget :</w:t>
            </w:r>
            <w:r>
              <w:rPr>
                <w:sz w:val="18"/>
                <w:szCs w:val="18"/>
              </w:rPr>
              <w:t xml:space="preserve"> </w:t>
            </w:r>
            <w:r>
              <w:rPr>
                <w:sz w:val="18"/>
                <w:szCs w:val="18"/>
              </w:rPr>
              <w:t>99</w:t>
            </w:r>
            <w:r>
              <w:rPr>
                <w:sz w:val="18"/>
                <w:szCs w:val="18"/>
              </w:rPr>
              <w:t>€/hab</w:t>
            </w:r>
          </w:p>
        </w:tc>
        <w:tc>
          <w:tcPr>
            <w:tcW w:w="1313" w:type="dxa"/>
            <w:tcBorders>
              <w:left w:val="single" w:sz="2" w:space="0" w:color="000000"/>
              <w:bottom w:val="single" w:sz="2" w:space="0" w:color="000000"/>
              <w:right w:val="single" w:sz="2" w:space="0" w:color="000000"/>
            </w:tcBorders>
          </w:tcPr>
          <w:p>
            <w:pPr>
              <w:pStyle w:val="Contenudetableau"/>
              <w:jc w:val="center"/>
              <w:rPr>
                <w:sz w:val="30"/>
                <w:szCs w:val="30"/>
              </w:rPr>
            </w:pPr>
            <w:r>
              <w:rPr>
                <w:sz w:val="30"/>
                <w:szCs w:val="30"/>
              </w:rPr>
              <w:t>103 400t</w:t>
            </w:r>
          </w:p>
          <w:p>
            <w:pPr>
              <w:pStyle w:val="Contenudetableau"/>
              <w:jc w:val="left"/>
              <w:rPr>
                <w:sz w:val="18"/>
                <w:szCs w:val="18"/>
              </w:rPr>
            </w:pPr>
            <w:r>
              <w:rPr>
                <w:sz w:val="18"/>
                <w:szCs w:val="18"/>
              </w:rPr>
              <w:t>autres chiffres</w:t>
            </w:r>
          </w:p>
          <w:p>
            <w:pPr>
              <w:pStyle w:val="Contenudetableau"/>
              <w:jc w:val="center"/>
              <w:rPr>
                <w:sz w:val="18"/>
                <w:szCs w:val="18"/>
              </w:rPr>
            </w:pPr>
            <w:r>
              <w:rPr>
                <w:b w:val="false"/>
                <w:bCs w:val="false"/>
                <w:sz w:val="18"/>
                <w:szCs w:val="18"/>
              </w:rPr>
              <w:t xml:space="preserve">déchets </w:t>
            </w:r>
            <w:r>
              <w:rPr>
                <w:b/>
                <w:bCs/>
                <w:sz w:val="22"/>
                <w:szCs w:val="22"/>
              </w:rPr>
              <w:t>645</w:t>
            </w:r>
            <w:r>
              <w:rPr>
                <w:sz w:val="22"/>
                <w:szCs w:val="22"/>
              </w:rPr>
              <w:t xml:space="preserve"> </w:t>
            </w:r>
            <w:r>
              <w:rPr>
                <w:sz w:val="18"/>
                <w:szCs w:val="18"/>
              </w:rPr>
              <w:t xml:space="preserve">kg/hab/an </w:t>
            </w:r>
            <w:r>
              <w:rPr>
                <w:sz w:val="18"/>
                <w:szCs w:val="18"/>
              </w:rPr>
              <w:t xml:space="preserve">contre </w:t>
            </w:r>
            <w:r>
              <w:rPr>
                <w:b/>
                <w:bCs/>
                <w:sz w:val="18"/>
                <w:szCs w:val="18"/>
              </w:rPr>
              <w:t>582</w:t>
            </w:r>
            <w:r>
              <w:rPr>
                <w:sz w:val="18"/>
                <w:szCs w:val="18"/>
              </w:rPr>
              <w:t xml:space="preserve"> nationalement</w:t>
            </w:r>
          </w:p>
          <w:p>
            <w:pPr>
              <w:pStyle w:val="Contenudetableau"/>
              <w:jc w:val="center"/>
              <w:rPr>
                <w:sz w:val="14"/>
                <w:szCs w:val="14"/>
              </w:rPr>
            </w:pPr>
            <w:r>
              <w:rPr>
                <w:sz w:val="14"/>
                <w:szCs w:val="14"/>
              </w:rPr>
            </w:r>
          </w:p>
          <w:p>
            <w:pPr>
              <w:pStyle w:val="Contenudetableau"/>
              <w:jc w:val="center"/>
              <w:rPr>
                <w:sz w:val="14"/>
                <w:szCs w:val="14"/>
              </w:rPr>
            </w:pPr>
            <w:r>
              <w:rPr>
                <w:sz w:val="18"/>
                <w:szCs w:val="18"/>
                <w:u w:val="single"/>
              </w:rPr>
              <w:t>TGAP</w:t>
            </w:r>
            <w:r>
              <w:rPr>
                <w:sz w:val="18"/>
                <w:szCs w:val="18"/>
              </w:rPr>
              <w:t xml:space="preserve"> : </w:t>
            </w:r>
            <w:r>
              <w:rPr>
                <w:sz w:val="18"/>
                <w:szCs w:val="18"/>
              </w:rPr>
              <w:t>30</w:t>
            </w:r>
            <w:r>
              <w:rPr>
                <w:sz w:val="18"/>
                <w:szCs w:val="18"/>
              </w:rPr>
              <w:t>€/t</w:t>
            </w:r>
          </w:p>
        </w:tc>
      </w:tr>
    </w:tbl>
    <w:p>
      <w:pPr>
        <w:pStyle w:val="Normal"/>
        <w:rPr>
          <w:b/>
          <w:b/>
          <w:bCs/>
          <w:sz w:val="30"/>
          <w:szCs w:val="30"/>
        </w:rPr>
      </w:pPr>
      <w:r>
        <w:rPr>
          <w:b/>
          <w:bCs/>
          <w:sz w:val="30"/>
          <w:szCs w:val="30"/>
        </w:rPr>
        <w:drawing>
          <wp:anchor behindDoc="0" distT="0" distB="0" distL="0" distR="0" simplePos="0" locked="0" layoutInCell="0" allowOverlap="1" relativeHeight="10">
            <wp:simplePos x="0" y="0"/>
            <wp:positionH relativeFrom="column">
              <wp:posOffset>3284855</wp:posOffset>
            </wp:positionH>
            <wp:positionV relativeFrom="paragraph">
              <wp:posOffset>55880</wp:posOffset>
            </wp:positionV>
            <wp:extent cx="2526030" cy="1535430"/>
            <wp:effectExtent l="0" t="0" r="0" b="0"/>
            <wp:wrapSquare wrapText="largest"/>
            <wp:docPr id="6"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 descr=""/>
                    <pic:cNvPicPr>
                      <a:picLocks noChangeAspect="1" noChangeArrowheads="1"/>
                    </pic:cNvPicPr>
                  </pic:nvPicPr>
                  <pic:blipFill>
                    <a:blip r:embed="rId7"/>
                    <a:stretch>
                      <a:fillRect/>
                    </a:stretch>
                  </pic:blipFill>
                  <pic:spPr bwMode="auto">
                    <a:xfrm>
                      <a:off x="0" y="0"/>
                      <a:ext cx="2526030" cy="1535430"/>
                    </a:xfrm>
                    <a:prstGeom prst="rect">
                      <a:avLst/>
                    </a:prstGeom>
                  </pic:spPr>
                </pic:pic>
              </a:graphicData>
            </a:graphic>
          </wp:anchor>
        </w:drawing>
      </w:r>
    </w:p>
    <w:p>
      <w:pPr>
        <w:pStyle w:val="Normal"/>
        <w:rPr/>
      </w:pPr>
      <w:r>
        <w:rPr/>
      </w:r>
    </w:p>
    <w:p>
      <w:pPr>
        <w:pStyle w:val="Normal"/>
        <w:rPr>
          <w:b/>
          <w:b/>
          <w:bCs/>
          <w:sz w:val="28"/>
          <w:szCs w:val="28"/>
          <w:u w:val="single"/>
        </w:rPr>
      </w:pPr>
      <w:r>
        <w:rPr>
          <w:b/>
          <w:bCs/>
          <w:sz w:val="28"/>
          <w:szCs w:val="28"/>
          <w:u w:val="single"/>
        </w:rPr>
      </w:r>
    </w:p>
    <w:p>
      <w:pPr>
        <w:pStyle w:val="Normal"/>
        <w:rPr>
          <w:b/>
          <w:b/>
          <w:bCs/>
          <w:sz w:val="28"/>
          <w:szCs w:val="28"/>
          <w:u w:val="single"/>
        </w:rPr>
      </w:pPr>
      <w:r>
        <w:rPr>
          <w:b/>
          <w:bCs/>
          <w:sz w:val="28"/>
          <w:szCs w:val="28"/>
          <w:u w:val="single"/>
        </w:rPr>
      </w:r>
    </w:p>
    <w:p>
      <w:pPr>
        <w:pStyle w:val="Normal"/>
        <w:rPr>
          <w:b/>
          <w:b/>
          <w:bCs/>
          <w:sz w:val="28"/>
          <w:szCs w:val="28"/>
          <w:u w:val="single"/>
        </w:rPr>
      </w:pPr>
      <w:r>
        <w:rPr>
          <w:b/>
          <w:bCs/>
          <w:sz w:val="28"/>
          <w:szCs w:val="28"/>
          <w:u w:val="single"/>
        </w:rPr>
      </w:r>
    </w:p>
    <w:p>
      <w:pPr>
        <w:pStyle w:val="Normal"/>
        <w:rPr>
          <w:b/>
          <w:b/>
          <w:bCs/>
          <w:sz w:val="28"/>
          <w:szCs w:val="28"/>
          <w:u w:val="single"/>
        </w:rPr>
      </w:pPr>
      <w:r>
        <w:rPr>
          <w:b/>
          <w:bCs/>
          <w:sz w:val="28"/>
          <w:szCs w:val="28"/>
          <w:u w:val="single"/>
        </w:rPr>
      </w:r>
    </w:p>
    <w:p>
      <w:pPr>
        <w:pStyle w:val="Normal"/>
        <w:rPr>
          <w:b/>
          <w:b/>
          <w:bCs/>
          <w:sz w:val="28"/>
          <w:szCs w:val="28"/>
          <w:u w:val="single"/>
        </w:rPr>
      </w:pPr>
      <w:r>
        <w:rPr>
          <w:b/>
          <w:bCs/>
          <w:sz w:val="28"/>
          <w:szCs w:val="28"/>
          <w:u w:val="single"/>
        </w:rPr>
      </w:r>
    </w:p>
    <w:p>
      <w:pPr>
        <w:pStyle w:val="Normal"/>
        <w:rPr>
          <w:b/>
          <w:b/>
          <w:bCs/>
          <w:sz w:val="28"/>
          <w:szCs w:val="28"/>
          <w:u w:val="single"/>
        </w:rPr>
      </w:pPr>
      <w:r>
        <w:rPr>
          <w:b/>
          <w:bCs/>
          <w:sz w:val="28"/>
          <w:szCs w:val="28"/>
          <w:u w:val="single"/>
        </w:rPr>
      </w:r>
    </w:p>
    <w:p>
      <w:pPr>
        <w:pStyle w:val="Normal"/>
        <w:rPr>
          <w:b/>
          <w:b/>
          <w:bCs/>
          <w:sz w:val="28"/>
          <w:szCs w:val="28"/>
          <w:u w:val="single"/>
        </w:rPr>
      </w:pPr>
      <w:r>
        <w:rPr>
          <w:b/>
          <w:bCs/>
          <w:sz w:val="28"/>
          <w:szCs w:val="28"/>
          <w:u w:val="single"/>
        </w:rPr>
      </w:r>
    </w:p>
    <w:p>
      <w:pPr>
        <w:pStyle w:val="Normal"/>
        <w:rPr>
          <w:b/>
          <w:b/>
          <w:bCs/>
          <w:sz w:val="28"/>
          <w:szCs w:val="28"/>
          <w:u w:val="single"/>
        </w:rPr>
      </w:pPr>
      <w:r>
        <w:rPr>
          <w:b/>
          <w:bCs/>
          <w:sz w:val="28"/>
          <w:szCs w:val="28"/>
          <w:u w:val="single"/>
        </w:rPr>
      </w:r>
    </w:p>
    <w:p>
      <w:pPr>
        <w:pStyle w:val="Normal"/>
        <w:rPr/>
      </w:pPr>
      <w:r>
        <w:rPr>
          <w:b/>
          <w:bCs/>
          <w:sz w:val="28"/>
          <w:szCs w:val="28"/>
          <w:u w:val="single"/>
        </w:rPr>
        <w:t xml:space="preserve">Evolution de la REOMI </w:t>
      </w:r>
      <w:r>
        <w:rPr/>
        <w:t>en 1 an1/2 (entre mai 2021 et décembre 2022)</w:t>
      </w:r>
    </w:p>
    <w:p>
      <w:pPr>
        <w:pStyle w:val="Normal"/>
        <w:rPr/>
      </w:pPr>
      <w:r>
        <w:rPr/>
      </w:r>
    </w:p>
    <w:p>
      <w:pPr>
        <w:pStyle w:val="Default"/>
        <w:rPr>
          <w:b w:val="false"/>
          <w:b w:val="false"/>
          <w:bCs w:val="false"/>
          <w:strike w:val="false"/>
          <w:dstrike w:val="false"/>
          <w:color w:val="000000"/>
          <w:sz w:val="18"/>
          <w:szCs w:val="24"/>
          <w:u w:val="single"/>
        </w:rPr>
      </w:pPr>
      <w:r>
        <w:rPr>
          <w:b w:val="false"/>
          <w:bCs w:val="false"/>
          <w:strike w:val="false"/>
          <w:dstrike w:val="false"/>
          <w:color w:val="000000"/>
          <w:sz w:val="18"/>
          <w:szCs w:val="24"/>
          <w:u w:val="single"/>
        </w:rPr>
        <w:t xml:space="preserve">tableau annoncé </w:t>
      </w:r>
      <w:r>
        <w:rPr>
          <w:b w:val="false"/>
          <w:bCs w:val="false"/>
          <w:strike w:val="false"/>
          <w:dstrike w:val="false"/>
          <w:color w:val="000000"/>
          <w:sz w:val="18"/>
          <w:szCs w:val="24"/>
          <w:u w:val="single"/>
        </w:rPr>
        <w:t xml:space="preserve">en </w:t>
      </w:r>
      <w:r>
        <w:rPr>
          <w:b/>
          <w:bCs/>
          <w:strike w:val="false"/>
          <w:dstrike w:val="false"/>
          <w:color w:val="000000"/>
          <w:sz w:val="18"/>
          <w:szCs w:val="24"/>
          <w:u w:val="single"/>
        </w:rPr>
        <w:t>mai</w:t>
      </w:r>
      <w:r>
        <w:rPr>
          <w:b/>
          <w:bCs/>
          <w:strike w:val="false"/>
          <w:dstrike w:val="false"/>
          <w:color w:val="000000"/>
          <w:sz w:val="18"/>
          <w:szCs w:val="24"/>
          <w:u w:val="single"/>
        </w:rPr>
        <w:t xml:space="preserve"> 2021</w:t>
      </w:r>
    </w:p>
    <w:tbl>
      <w:tblPr>
        <w:tblW w:w="5000" w:type="pct"/>
        <w:jc w:val="left"/>
        <w:tblInd w:w="0" w:type="dxa"/>
        <w:tblLayout w:type="fixed"/>
        <w:tblCellMar>
          <w:top w:w="55" w:type="dxa"/>
          <w:left w:w="55" w:type="dxa"/>
          <w:bottom w:w="55" w:type="dxa"/>
          <w:right w:w="55" w:type="dxa"/>
        </w:tblCellMar>
      </w:tblPr>
      <w:tblGrid>
        <w:gridCol w:w="2098"/>
        <w:gridCol w:w="2098"/>
        <w:gridCol w:w="2098"/>
        <w:gridCol w:w="2098"/>
        <w:gridCol w:w="2098"/>
      </w:tblGrid>
      <w:tr>
        <w:trPr/>
        <w:tc>
          <w:tcPr>
            <w:tcW w:w="10490" w:type="dxa"/>
            <w:gridSpan w:val="5"/>
            <w:tcBorders>
              <w:top w:val="single" w:sz="2" w:space="0" w:color="000000"/>
              <w:left w:val="single" w:sz="2" w:space="0" w:color="000000"/>
              <w:bottom w:val="single" w:sz="2" w:space="0" w:color="000000"/>
              <w:right w:val="single" w:sz="2" w:space="0" w:color="000000"/>
            </w:tcBorders>
          </w:tcPr>
          <w:p>
            <w:pPr>
              <w:pStyle w:val="Contenudetableau"/>
              <w:jc w:val="center"/>
              <w:rPr/>
            </w:pPr>
            <w:r>
              <w:rPr>
                <w:b/>
                <w:bCs/>
              </w:rPr>
              <w:t>Collecte en PAV</w:t>
            </w:r>
            <w:r>
              <w:rPr/>
              <w:t xml:space="preserve"> </w:t>
            </w:r>
            <w:r>
              <w:rPr/>
              <w:t>(</w:t>
            </w:r>
            <w:r>
              <w:rPr/>
              <w:t>accès 24h/24h</w:t>
            </w:r>
            <w:r>
              <w:rPr/>
              <w:t>)</w:t>
            </w:r>
          </w:p>
        </w:tc>
      </w:tr>
      <w:tr>
        <w:trPr/>
        <w:tc>
          <w:tcPr>
            <w:tcW w:w="8392" w:type="dxa"/>
            <w:gridSpan w:val="4"/>
            <w:tcBorders>
              <w:left w:val="single" w:sz="2" w:space="0" w:color="000000"/>
              <w:bottom w:val="single" w:sz="2" w:space="0" w:color="000000"/>
            </w:tcBorders>
          </w:tcPr>
          <w:p>
            <w:pPr>
              <w:pStyle w:val="Contenudetableau"/>
              <w:jc w:val="center"/>
              <w:rPr/>
            </w:pPr>
            <w:r>
              <w:rPr/>
              <w:t>part fixe</w:t>
            </w:r>
          </w:p>
        </w:tc>
        <w:tc>
          <w:tcPr>
            <w:tcW w:w="2098" w:type="dxa"/>
            <w:tcBorders>
              <w:left w:val="single" w:sz="2" w:space="0" w:color="000000"/>
              <w:bottom w:val="single" w:sz="2" w:space="0" w:color="000000"/>
              <w:right w:val="single" w:sz="2" w:space="0" w:color="000000"/>
            </w:tcBorders>
          </w:tcPr>
          <w:p>
            <w:pPr>
              <w:pStyle w:val="Contenudetableau"/>
              <w:jc w:val="left"/>
              <w:rPr/>
            </w:pPr>
            <w:r>
              <w:rPr/>
              <w:t>part variable</w:t>
            </w:r>
          </w:p>
        </w:tc>
      </w:tr>
      <w:tr>
        <w:trPr/>
        <w:tc>
          <w:tcPr>
            <w:tcW w:w="2098" w:type="dxa"/>
            <w:tcBorders>
              <w:left w:val="single" w:sz="2" w:space="0" w:color="000000"/>
              <w:bottom w:val="single" w:sz="2" w:space="0" w:color="000000"/>
            </w:tcBorders>
          </w:tcPr>
          <w:p>
            <w:pPr>
              <w:pStyle w:val="Contenudetableau"/>
              <w:jc w:val="center"/>
              <w:rPr>
                <w:sz w:val="20"/>
                <w:szCs w:val="20"/>
              </w:rPr>
            </w:pPr>
            <w:r>
              <w:rPr>
                <w:sz w:val="20"/>
                <w:szCs w:val="20"/>
              </w:rPr>
              <w:t>Composition du foyer</w:t>
            </w:r>
          </w:p>
        </w:tc>
        <w:tc>
          <w:tcPr>
            <w:tcW w:w="2098" w:type="dxa"/>
            <w:tcBorders>
              <w:left w:val="single" w:sz="2" w:space="0" w:color="000000"/>
              <w:bottom w:val="single" w:sz="2" w:space="0" w:color="000000"/>
            </w:tcBorders>
          </w:tcPr>
          <w:p>
            <w:pPr>
              <w:pStyle w:val="Contenudetableau"/>
              <w:jc w:val="center"/>
              <w:rPr/>
            </w:pPr>
            <w:r>
              <w:rPr/>
              <w:t xml:space="preserve">Abonnement  </w:t>
            </w:r>
            <w:r>
              <w:rPr>
                <w:color w:val="C9211E"/>
              </w:rPr>
              <w:t>*</w:t>
            </w:r>
          </w:p>
        </w:tc>
        <w:tc>
          <w:tcPr>
            <w:tcW w:w="2098" w:type="dxa"/>
            <w:tcBorders>
              <w:left w:val="single" w:sz="2" w:space="0" w:color="000000"/>
              <w:bottom w:val="single" w:sz="2" w:space="0" w:color="000000"/>
            </w:tcBorders>
          </w:tcPr>
          <w:p>
            <w:pPr>
              <w:pStyle w:val="Contenudetableau"/>
              <w:jc w:val="center"/>
              <w:rPr/>
            </w:pPr>
            <w:r>
              <w:rPr/>
              <w:t>forfait</w:t>
            </w:r>
            <w:r>
              <w:rPr>
                <w:color w:val="C9211E"/>
              </w:rPr>
              <w:t>**</w:t>
            </w:r>
          </w:p>
        </w:tc>
        <w:tc>
          <w:tcPr>
            <w:tcW w:w="2098" w:type="dxa"/>
            <w:tcBorders>
              <w:left w:val="single" w:sz="2" w:space="0" w:color="000000"/>
              <w:bottom w:val="single" w:sz="2" w:space="0" w:color="000000"/>
            </w:tcBorders>
          </w:tcPr>
          <w:p>
            <w:pPr>
              <w:pStyle w:val="Contenudetableau"/>
              <w:jc w:val="center"/>
              <w:rPr/>
            </w:pPr>
            <w:r>
              <w:rPr/>
              <w:t>total</w:t>
            </w:r>
          </w:p>
        </w:tc>
        <w:tc>
          <w:tcPr>
            <w:tcW w:w="2098" w:type="dxa"/>
            <w:vMerge w:val="restart"/>
            <w:tcBorders>
              <w:left w:val="single" w:sz="2" w:space="0" w:color="000000"/>
              <w:bottom w:val="single" w:sz="2" w:space="0" w:color="000000"/>
              <w:right w:val="single" w:sz="2" w:space="0" w:color="000000"/>
            </w:tcBorders>
          </w:tcPr>
          <w:p>
            <w:pPr>
              <w:pStyle w:val="Normal"/>
              <w:jc w:val="left"/>
              <w:rPr>
                <w:rFonts w:ascii="Barlow-Medium" w:hAnsi="Barlow-Medium"/>
                <w:i w:val="false"/>
                <w:i w:val="false"/>
                <w:iCs w:val="false"/>
                <w:sz w:val="21"/>
                <w:szCs w:val="21"/>
              </w:rPr>
            </w:pPr>
            <w:r>
              <w:rPr>
                <w:rFonts w:ascii="Barlow-Medium" w:hAnsi="Barlow-Medium"/>
                <w:i w:val="false"/>
                <w:iCs w:val="false"/>
                <w:sz w:val="21"/>
                <w:szCs w:val="21"/>
              </w:rPr>
              <w:t>1 ouverture</w:t>
            </w:r>
          </w:p>
          <w:p>
            <w:pPr>
              <w:pStyle w:val="Normal"/>
              <w:jc w:val="left"/>
              <w:rPr>
                <w:rFonts w:ascii="Barlow-Medium" w:hAnsi="Barlow-Medium"/>
                <w:i w:val="false"/>
                <w:i w:val="false"/>
                <w:iCs w:val="false"/>
                <w:sz w:val="21"/>
                <w:szCs w:val="21"/>
              </w:rPr>
            </w:pPr>
            <w:r>
              <w:rPr>
                <w:rFonts w:ascii="Barlow-Medium" w:hAnsi="Barlow-Medium"/>
                <w:i w:val="false"/>
                <w:iCs w:val="false"/>
                <w:sz w:val="21"/>
                <w:szCs w:val="21"/>
              </w:rPr>
              <w:t>supplémentaire =</w:t>
            </w:r>
          </w:p>
          <w:p>
            <w:pPr>
              <w:pStyle w:val="Normal"/>
              <w:jc w:val="left"/>
              <w:rPr>
                <w:rFonts w:ascii="Barlow-Medium" w:hAnsi="Barlow-Medium"/>
                <w:i w:val="false"/>
                <w:i w:val="false"/>
                <w:iCs w:val="false"/>
                <w:sz w:val="21"/>
                <w:szCs w:val="21"/>
              </w:rPr>
            </w:pPr>
            <w:r>
              <w:rPr>
                <w:rFonts w:ascii="Barlow-Medium" w:hAnsi="Barlow-Medium"/>
                <w:i w:val="false"/>
                <w:iCs w:val="false"/>
                <w:sz w:val="21"/>
                <w:szCs w:val="21"/>
              </w:rPr>
              <w:t>4,5 ct /litre soit</w:t>
            </w:r>
          </w:p>
          <w:p>
            <w:pPr>
              <w:pStyle w:val="Normal"/>
              <w:jc w:val="left"/>
              <w:rPr>
                <w:rFonts w:ascii="Barlow-Medium" w:hAnsi="Barlow-Medium"/>
                <w:i w:val="false"/>
                <w:i w:val="false"/>
                <w:iCs w:val="false"/>
                <w:sz w:val="21"/>
                <w:szCs w:val="21"/>
              </w:rPr>
            </w:pPr>
            <w:r>
              <w:rPr>
                <w:rFonts w:ascii="Barlow-Medium" w:hAnsi="Barlow-Medium"/>
                <w:i w:val="false"/>
                <w:iCs w:val="false"/>
                <w:sz w:val="21"/>
                <w:szCs w:val="21"/>
              </w:rPr>
              <w:t>autour de 2,70 €</w:t>
            </w:r>
          </w:p>
          <w:p>
            <w:pPr>
              <w:pStyle w:val="Normal"/>
              <w:jc w:val="left"/>
              <w:rPr>
                <w:i/>
                <w:i/>
                <w:iCs/>
                <w:sz w:val="21"/>
                <w:szCs w:val="21"/>
              </w:rPr>
            </w:pPr>
            <w:r>
              <w:rPr>
                <w:i/>
                <w:iCs/>
                <w:sz w:val="21"/>
                <w:szCs w:val="21"/>
              </w:rPr>
              <w:t>2 sacs noirs de 30l à chaque fois</w:t>
            </w:r>
          </w:p>
        </w:tc>
      </w:tr>
      <w:tr>
        <w:trPr/>
        <w:tc>
          <w:tcPr>
            <w:tcW w:w="2098" w:type="dxa"/>
            <w:tcBorders>
              <w:left w:val="single" w:sz="2" w:space="0" w:color="000000"/>
              <w:bottom w:val="single" w:sz="2" w:space="0" w:color="000000"/>
            </w:tcBorders>
          </w:tcPr>
          <w:p>
            <w:pPr>
              <w:pStyle w:val="Contenudetableau"/>
              <w:jc w:val="left"/>
              <w:rPr/>
            </w:pPr>
            <w:r>
              <w:rPr/>
              <w:t>1 à 2 personnes</w:t>
            </w:r>
          </w:p>
        </w:tc>
        <w:tc>
          <w:tcPr>
            <w:tcW w:w="2098" w:type="dxa"/>
            <w:vMerge w:val="restart"/>
            <w:tcBorders>
              <w:left w:val="single" w:sz="2" w:space="0" w:color="000000"/>
              <w:bottom w:val="single" w:sz="2" w:space="0" w:color="000000"/>
            </w:tcBorders>
          </w:tcPr>
          <w:p>
            <w:pPr>
              <w:pStyle w:val="Normal"/>
              <w:jc w:val="center"/>
              <w:rPr>
                <w:rFonts w:ascii="Barlow-Regular" w:hAnsi="Barlow-Regular"/>
                <w:sz w:val="24"/>
                <w:szCs w:val="24"/>
              </w:rPr>
            </w:pPr>
            <w:r>
              <w:rPr>
                <w:rFonts w:ascii="Barlow-Regular" w:hAnsi="Barlow-Regular"/>
                <w:sz w:val="24"/>
                <w:szCs w:val="24"/>
              </w:rPr>
            </w:r>
          </w:p>
          <w:p>
            <w:pPr>
              <w:pStyle w:val="Normal"/>
              <w:jc w:val="center"/>
              <w:rPr>
                <w:rFonts w:ascii="Barlow-Regular" w:hAnsi="Barlow-Regular"/>
                <w:sz w:val="24"/>
                <w:szCs w:val="24"/>
              </w:rPr>
            </w:pPr>
            <w:r>
              <w:rPr>
                <w:rFonts w:ascii="Barlow-Regular" w:hAnsi="Barlow-Regular"/>
                <w:sz w:val="24"/>
                <w:szCs w:val="24"/>
              </w:rPr>
              <w:t xml:space="preserve">Autour </w:t>
            </w:r>
          </w:p>
          <w:p>
            <w:pPr>
              <w:pStyle w:val="Normal"/>
              <w:jc w:val="center"/>
              <w:rPr>
                <w:rFonts w:ascii="Barlow-Regular" w:hAnsi="Barlow-Regular"/>
                <w:sz w:val="24"/>
                <w:szCs w:val="24"/>
              </w:rPr>
            </w:pPr>
            <w:r>
              <w:rPr>
                <w:rFonts w:ascii="Barlow-Regular" w:hAnsi="Barlow-Regular"/>
                <w:sz w:val="24"/>
                <w:szCs w:val="24"/>
              </w:rPr>
              <w:t>de</w:t>
            </w:r>
            <w:r>
              <w:rPr>
                <w:rFonts w:ascii="Barlow-Regular" w:hAnsi="Barlow-Regular"/>
                <w:sz w:val="24"/>
                <w:szCs w:val="24"/>
              </w:rPr>
              <w:t xml:space="preserve"> 80 €</w:t>
            </w:r>
          </w:p>
          <w:p>
            <w:pPr>
              <w:pStyle w:val="Normal"/>
              <w:jc w:val="center"/>
              <w:rPr>
                <w:rFonts w:ascii="Barlow-Regular" w:hAnsi="Barlow-Regular"/>
                <w:sz w:val="24"/>
                <w:szCs w:val="24"/>
              </w:rPr>
            </w:pPr>
            <w:r>
              <w:rPr>
                <w:rFonts w:ascii="Barlow-Regular" w:hAnsi="Barlow-Regular"/>
                <w:sz w:val="24"/>
                <w:szCs w:val="24"/>
              </w:rPr>
            </w:r>
          </w:p>
        </w:tc>
        <w:tc>
          <w:tcPr>
            <w:tcW w:w="2098" w:type="dxa"/>
            <w:tcBorders>
              <w:left w:val="single" w:sz="2" w:space="0" w:color="000000"/>
              <w:bottom w:val="single" w:sz="2" w:space="0" w:color="000000"/>
            </w:tcBorders>
          </w:tcPr>
          <w:p>
            <w:pPr>
              <w:pStyle w:val="Contenudetableau"/>
              <w:jc w:val="center"/>
              <w:rPr>
                <w:sz w:val="22"/>
                <w:szCs w:val="22"/>
              </w:rPr>
            </w:pPr>
            <w:r>
              <w:rPr>
                <w:sz w:val="22"/>
                <w:szCs w:val="22"/>
              </w:rPr>
              <w:t>24 levées/an →  65€</w:t>
            </w:r>
          </w:p>
        </w:tc>
        <w:tc>
          <w:tcPr>
            <w:tcW w:w="2098" w:type="dxa"/>
            <w:tcBorders>
              <w:left w:val="single" w:sz="2" w:space="0" w:color="000000"/>
              <w:bottom w:val="single" w:sz="2" w:space="0" w:color="000000"/>
            </w:tcBorders>
          </w:tcPr>
          <w:p>
            <w:pPr>
              <w:pStyle w:val="Normal"/>
              <w:jc w:val="center"/>
              <w:rPr>
                <w:rFonts w:ascii="Barlow-Medium" w:hAnsi="Barlow-Medium"/>
                <w:sz w:val="24"/>
                <w:szCs w:val="24"/>
              </w:rPr>
            </w:pPr>
            <w:r>
              <w:rPr>
                <w:rFonts w:ascii="Barlow-Medium" w:hAnsi="Barlow-Medium"/>
                <w:sz w:val="24"/>
                <w:szCs w:val="24"/>
              </w:rPr>
              <w:t xml:space="preserve"> </w:t>
            </w:r>
            <w:r>
              <w:rPr>
                <w:rFonts w:ascii="Barlow-Medium" w:hAnsi="Barlow-Medium"/>
                <w:sz w:val="24"/>
                <w:szCs w:val="24"/>
              </w:rPr>
              <w:t>145 €</w:t>
            </w:r>
          </w:p>
        </w:tc>
        <w:tc>
          <w:tcPr>
            <w:tcW w:w="2098" w:type="dxa"/>
            <w:vMerge w:val="continue"/>
            <w:tcBorders>
              <w:left w:val="single" w:sz="2" w:space="0" w:color="000000"/>
              <w:bottom w:val="single" w:sz="2" w:space="0" w:color="000000"/>
              <w:right w:val="single" w:sz="2" w:space="0" w:color="000000"/>
            </w:tcBorders>
          </w:tcPr>
          <w:p>
            <w:pPr>
              <w:pStyle w:val="Normal"/>
              <w:rPr/>
            </w:pPr>
            <w:r>
              <w:rPr/>
            </w:r>
          </w:p>
        </w:tc>
      </w:tr>
      <w:tr>
        <w:trPr/>
        <w:tc>
          <w:tcPr>
            <w:tcW w:w="2098" w:type="dxa"/>
            <w:tcBorders>
              <w:left w:val="single" w:sz="2" w:space="0" w:color="000000"/>
              <w:bottom w:val="single" w:sz="2" w:space="0" w:color="000000"/>
            </w:tcBorders>
          </w:tcPr>
          <w:p>
            <w:pPr>
              <w:pStyle w:val="Contenudetableau"/>
              <w:jc w:val="left"/>
              <w:rPr/>
            </w:pPr>
            <w:r>
              <w:rPr/>
              <w:t>3 ou 4</w:t>
            </w:r>
          </w:p>
        </w:tc>
        <w:tc>
          <w:tcPr>
            <w:tcW w:w="2098" w:type="dxa"/>
            <w:vMerge w:val="continue"/>
            <w:tcBorders>
              <w:left w:val="single" w:sz="2" w:space="0" w:color="000000"/>
              <w:bottom w:val="single" w:sz="2" w:space="0" w:color="000000"/>
            </w:tcBorders>
          </w:tcPr>
          <w:p>
            <w:pPr>
              <w:pStyle w:val="Normal"/>
              <w:rPr/>
            </w:pPr>
            <w:r>
              <w:rPr/>
            </w:r>
          </w:p>
        </w:tc>
        <w:tc>
          <w:tcPr>
            <w:tcW w:w="2098" w:type="dxa"/>
            <w:tcBorders>
              <w:left w:val="single" w:sz="2" w:space="0" w:color="000000"/>
              <w:bottom w:val="single" w:sz="2" w:space="0" w:color="000000"/>
            </w:tcBorders>
          </w:tcPr>
          <w:p>
            <w:pPr>
              <w:pStyle w:val="Contenudetableau"/>
              <w:jc w:val="left"/>
              <w:rPr/>
            </w:pPr>
            <w:r>
              <w:rPr/>
              <w:t>48/an → 130€</w:t>
            </w:r>
          </w:p>
        </w:tc>
        <w:tc>
          <w:tcPr>
            <w:tcW w:w="2098" w:type="dxa"/>
            <w:tcBorders>
              <w:left w:val="single" w:sz="2" w:space="0" w:color="000000"/>
              <w:bottom w:val="single" w:sz="2" w:space="0" w:color="000000"/>
            </w:tcBorders>
          </w:tcPr>
          <w:p>
            <w:pPr>
              <w:pStyle w:val="Normal"/>
              <w:jc w:val="center"/>
              <w:rPr>
                <w:rFonts w:ascii="Barlow-Medium" w:hAnsi="Barlow-Medium"/>
                <w:sz w:val="24"/>
                <w:szCs w:val="24"/>
              </w:rPr>
            </w:pPr>
            <w:r>
              <w:rPr>
                <w:rFonts w:ascii="Barlow-Medium" w:hAnsi="Barlow-Medium"/>
                <w:sz w:val="24"/>
                <w:szCs w:val="24"/>
              </w:rPr>
              <w:t xml:space="preserve"> </w:t>
            </w:r>
            <w:r>
              <w:rPr>
                <w:rFonts w:ascii="Barlow-Medium" w:hAnsi="Barlow-Medium"/>
                <w:sz w:val="24"/>
                <w:szCs w:val="24"/>
              </w:rPr>
              <w:t>210 €</w:t>
            </w:r>
          </w:p>
        </w:tc>
        <w:tc>
          <w:tcPr>
            <w:tcW w:w="2098" w:type="dxa"/>
            <w:vMerge w:val="continue"/>
            <w:tcBorders>
              <w:left w:val="single" w:sz="2" w:space="0" w:color="000000"/>
              <w:bottom w:val="single" w:sz="2" w:space="0" w:color="000000"/>
              <w:right w:val="single" w:sz="2" w:space="0" w:color="000000"/>
            </w:tcBorders>
          </w:tcPr>
          <w:p>
            <w:pPr>
              <w:pStyle w:val="Normal"/>
              <w:rPr/>
            </w:pPr>
            <w:r>
              <w:rPr/>
            </w:r>
          </w:p>
        </w:tc>
      </w:tr>
      <w:tr>
        <w:trPr/>
        <w:tc>
          <w:tcPr>
            <w:tcW w:w="2098" w:type="dxa"/>
            <w:tcBorders>
              <w:left w:val="single" w:sz="2" w:space="0" w:color="000000"/>
              <w:bottom w:val="single" w:sz="2" w:space="0" w:color="000000"/>
            </w:tcBorders>
          </w:tcPr>
          <w:p>
            <w:pPr>
              <w:pStyle w:val="Contenudetableau"/>
              <w:jc w:val="left"/>
              <w:rPr/>
            </w:pPr>
            <w:r>
              <w:rPr/>
              <w:t>5 et plus</w:t>
            </w:r>
          </w:p>
        </w:tc>
        <w:tc>
          <w:tcPr>
            <w:tcW w:w="2098" w:type="dxa"/>
            <w:vMerge w:val="continue"/>
            <w:tcBorders>
              <w:left w:val="single" w:sz="2" w:space="0" w:color="000000"/>
              <w:bottom w:val="single" w:sz="2" w:space="0" w:color="000000"/>
            </w:tcBorders>
          </w:tcPr>
          <w:p>
            <w:pPr>
              <w:pStyle w:val="Normal"/>
              <w:rPr/>
            </w:pPr>
            <w:r>
              <w:rPr/>
            </w:r>
          </w:p>
        </w:tc>
        <w:tc>
          <w:tcPr>
            <w:tcW w:w="2098" w:type="dxa"/>
            <w:tcBorders>
              <w:left w:val="single" w:sz="2" w:space="0" w:color="000000"/>
              <w:bottom w:val="single" w:sz="2" w:space="0" w:color="000000"/>
            </w:tcBorders>
          </w:tcPr>
          <w:p>
            <w:pPr>
              <w:pStyle w:val="Normal"/>
              <w:jc w:val="left"/>
              <w:rPr>
                <w:rFonts w:ascii="Barlow-Regular" w:hAnsi="Barlow-Regular"/>
                <w:sz w:val="24"/>
                <w:szCs w:val="24"/>
              </w:rPr>
            </w:pPr>
            <w:r>
              <w:rPr>
                <w:rFonts w:ascii="Barlow-Regular" w:hAnsi="Barlow-Regular"/>
                <w:sz w:val="24"/>
                <w:szCs w:val="24"/>
              </w:rPr>
              <w:t>72/an → 195 €</w:t>
            </w:r>
          </w:p>
        </w:tc>
        <w:tc>
          <w:tcPr>
            <w:tcW w:w="2098" w:type="dxa"/>
            <w:tcBorders>
              <w:left w:val="single" w:sz="2" w:space="0" w:color="000000"/>
              <w:bottom w:val="single" w:sz="2" w:space="0" w:color="000000"/>
            </w:tcBorders>
          </w:tcPr>
          <w:p>
            <w:pPr>
              <w:pStyle w:val="Normal"/>
              <w:jc w:val="center"/>
              <w:rPr>
                <w:rFonts w:ascii="Barlow-Medium" w:hAnsi="Barlow-Medium"/>
                <w:sz w:val="24"/>
                <w:szCs w:val="24"/>
              </w:rPr>
            </w:pPr>
            <w:r>
              <w:rPr>
                <w:rFonts w:ascii="Barlow-Medium" w:hAnsi="Barlow-Medium"/>
                <w:sz w:val="24"/>
                <w:szCs w:val="24"/>
              </w:rPr>
              <w:t>275 €</w:t>
            </w:r>
          </w:p>
        </w:tc>
        <w:tc>
          <w:tcPr>
            <w:tcW w:w="2098" w:type="dxa"/>
            <w:vMerge w:val="continue"/>
            <w:tcBorders>
              <w:left w:val="single" w:sz="2" w:space="0" w:color="000000"/>
              <w:bottom w:val="single" w:sz="2" w:space="0" w:color="000000"/>
              <w:right w:val="single" w:sz="2" w:space="0" w:color="000000"/>
            </w:tcBorders>
          </w:tcPr>
          <w:p>
            <w:pPr>
              <w:pStyle w:val="Normal"/>
              <w:rPr/>
            </w:pPr>
            <w:r>
              <w:rPr/>
            </w:r>
          </w:p>
        </w:tc>
      </w:tr>
    </w:tbl>
    <w:p>
      <w:pPr>
        <w:pStyle w:val="Normal"/>
        <w:jc w:val="left"/>
        <w:rPr>
          <w:i w:val="false"/>
          <w:i w:val="false"/>
          <w:iCs w:val="false"/>
          <w:color w:val="C9211E"/>
          <w:sz w:val="18"/>
          <w:szCs w:val="18"/>
          <w:u w:val="none"/>
        </w:rPr>
      </w:pPr>
      <w:r>
        <w:rPr>
          <w:rFonts w:ascii="Barlow-Italic" w:hAnsi="Barlow-Italic"/>
          <w:b w:val="false"/>
          <w:bCs w:val="false"/>
          <w:i w:val="false"/>
          <w:iCs w:val="false"/>
          <w:strike w:val="false"/>
          <w:dstrike w:val="false"/>
          <w:color w:val="C9211E"/>
          <w:sz w:val="18"/>
          <w:szCs w:val="18"/>
          <w:u w:val="none"/>
        </w:rPr>
        <w:t xml:space="preserve">* L’abonnement finance l’ensemble du service public des déchets : les déchèteries, la collecte et </w:t>
      </w:r>
      <w:r>
        <w:rPr>
          <w:rFonts w:ascii="Barlow-Italic" w:hAnsi="Barlow-Italic"/>
          <w:i w:val="false"/>
          <w:iCs w:val="false"/>
          <w:color w:val="C9211E"/>
          <w:sz w:val="18"/>
          <w:szCs w:val="18"/>
          <w:u w:val="none"/>
        </w:rPr>
        <w:t>le traitement de tous les déchets (verre, textile, emballages, etc.), le développement de nouvelles filières de recyclage, etc.</w:t>
      </w:r>
    </w:p>
    <w:p>
      <w:pPr>
        <w:pStyle w:val="Normal"/>
        <w:rPr>
          <w:rFonts w:ascii="Barlow-Italic" w:hAnsi="Barlow-Italic"/>
          <w:b w:val="false"/>
          <w:b w:val="false"/>
          <w:bCs w:val="false"/>
          <w:i w:val="false"/>
          <w:i w:val="false"/>
          <w:iCs w:val="false"/>
          <w:strike w:val="false"/>
          <w:dstrike w:val="false"/>
          <w:color w:val="C9211E"/>
          <w:sz w:val="18"/>
          <w:szCs w:val="18"/>
          <w:u w:val="none"/>
        </w:rPr>
      </w:pPr>
      <w:r>
        <w:rPr>
          <w:rFonts w:ascii="Barlow-Italic" w:hAnsi="Barlow-Italic"/>
          <w:b w:val="false"/>
          <w:bCs w:val="false"/>
          <w:i w:val="false"/>
          <w:iCs w:val="false"/>
          <w:strike w:val="false"/>
          <w:dstrike w:val="false"/>
          <w:color w:val="C9211E"/>
          <w:sz w:val="18"/>
          <w:szCs w:val="18"/>
          <w:u w:val="none"/>
        </w:rPr>
        <w:t>** Le forfait et la part variable prennent uniquement en compte la production d’ordures ménagères (sacs noirs).</w:t>
      </w:r>
    </w:p>
    <w:p>
      <w:pPr>
        <w:pStyle w:val="Default"/>
        <w:rPr>
          <w:b w:val="false"/>
          <w:b w:val="false"/>
          <w:bCs w:val="false"/>
          <w:strike w:val="false"/>
          <w:dstrike w:val="false"/>
          <w:color w:val="000000"/>
          <w:sz w:val="18"/>
          <w:szCs w:val="24"/>
          <w:u w:val="single"/>
        </w:rPr>
      </w:pPr>
      <w:r>
        <w:rPr>
          <w:b w:val="false"/>
          <w:bCs w:val="false"/>
          <w:strike w:val="false"/>
          <w:dstrike w:val="false"/>
          <w:color w:val="000000"/>
          <w:sz w:val="18"/>
          <w:szCs w:val="24"/>
          <w:u w:val="single"/>
        </w:rPr>
        <w:t xml:space="preserve">tableau annoncé </w:t>
      </w:r>
      <w:r>
        <w:rPr>
          <w:b w:val="false"/>
          <w:bCs w:val="false"/>
          <w:strike w:val="false"/>
          <w:dstrike w:val="false"/>
          <w:color w:val="000000"/>
          <w:sz w:val="18"/>
          <w:szCs w:val="24"/>
          <w:u w:val="single"/>
        </w:rPr>
        <w:t xml:space="preserve">en </w:t>
      </w:r>
      <w:r>
        <w:rPr>
          <w:b/>
          <w:bCs/>
          <w:strike w:val="false"/>
          <w:dstrike w:val="false"/>
          <w:color w:val="000000"/>
          <w:sz w:val="18"/>
          <w:szCs w:val="24"/>
          <w:u w:val="single"/>
        </w:rPr>
        <w:t>sept. 2021</w:t>
      </w:r>
    </w:p>
    <w:tbl>
      <w:tblPr>
        <w:tblW w:w="5000" w:type="pct"/>
        <w:jc w:val="left"/>
        <w:tblInd w:w="0" w:type="dxa"/>
        <w:tblLayout w:type="fixed"/>
        <w:tblCellMar>
          <w:top w:w="55" w:type="dxa"/>
          <w:left w:w="55" w:type="dxa"/>
          <w:bottom w:w="55" w:type="dxa"/>
          <w:right w:w="55" w:type="dxa"/>
        </w:tblCellMar>
      </w:tblPr>
      <w:tblGrid>
        <w:gridCol w:w="2098"/>
        <w:gridCol w:w="2098"/>
        <w:gridCol w:w="2098"/>
        <w:gridCol w:w="2098"/>
        <w:gridCol w:w="2098"/>
      </w:tblGrid>
      <w:tr>
        <w:trPr/>
        <w:tc>
          <w:tcPr>
            <w:tcW w:w="10490" w:type="dxa"/>
            <w:gridSpan w:val="5"/>
            <w:tcBorders>
              <w:top w:val="single" w:sz="2" w:space="0" w:color="000000"/>
              <w:left w:val="single" w:sz="2" w:space="0" w:color="000000"/>
              <w:bottom w:val="single" w:sz="2" w:space="0" w:color="000000"/>
              <w:right w:val="single" w:sz="2" w:space="0" w:color="000000"/>
            </w:tcBorders>
          </w:tcPr>
          <w:p>
            <w:pPr>
              <w:pStyle w:val="Contenudetableau"/>
              <w:jc w:val="center"/>
              <w:rPr/>
            </w:pPr>
            <w:r>
              <w:rPr>
                <w:b/>
                <w:bCs/>
              </w:rPr>
              <w:t>Collecte en PAV</w:t>
            </w:r>
            <w:r>
              <w:rPr/>
              <w:t xml:space="preserve"> </w:t>
            </w:r>
            <w:r>
              <w:rPr/>
              <w:t>(</w:t>
            </w:r>
            <w:r>
              <w:rPr/>
              <w:t>accès 24h/24h</w:t>
            </w:r>
            <w:r>
              <w:rPr/>
              <w:t>)</w:t>
            </w:r>
          </w:p>
        </w:tc>
      </w:tr>
      <w:tr>
        <w:trPr/>
        <w:tc>
          <w:tcPr>
            <w:tcW w:w="8392" w:type="dxa"/>
            <w:gridSpan w:val="4"/>
            <w:tcBorders>
              <w:left w:val="single" w:sz="2" w:space="0" w:color="000000"/>
              <w:bottom w:val="single" w:sz="2" w:space="0" w:color="000000"/>
            </w:tcBorders>
          </w:tcPr>
          <w:p>
            <w:pPr>
              <w:pStyle w:val="Contenudetableau"/>
              <w:jc w:val="center"/>
              <w:rPr/>
            </w:pPr>
            <w:r>
              <w:rPr/>
              <w:t>part fixe</w:t>
            </w:r>
          </w:p>
        </w:tc>
        <w:tc>
          <w:tcPr>
            <w:tcW w:w="2098" w:type="dxa"/>
            <w:tcBorders>
              <w:left w:val="single" w:sz="2" w:space="0" w:color="000000"/>
              <w:bottom w:val="single" w:sz="2" w:space="0" w:color="000000"/>
              <w:right w:val="single" w:sz="2" w:space="0" w:color="000000"/>
            </w:tcBorders>
          </w:tcPr>
          <w:p>
            <w:pPr>
              <w:pStyle w:val="Contenudetableau"/>
              <w:jc w:val="left"/>
              <w:rPr/>
            </w:pPr>
            <w:r>
              <w:rPr/>
              <w:t>part variable</w:t>
            </w:r>
          </w:p>
        </w:tc>
      </w:tr>
      <w:tr>
        <w:trPr/>
        <w:tc>
          <w:tcPr>
            <w:tcW w:w="2098" w:type="dxa"/>
            <w:tcBorders>
              <w:left w:val="single" w:sz="2" w:space="0" w:color="000000"/>
              <w:bottom w:val="single" w:sz="2" w:space="0" w:color="000000"/>
            </w:tcBorders>
          </w:tcPr>
          <w:p>
            <w:pPr>
              <w:pStyle w:val="Contenudetableau"/>
              <w:jc w:val="center"/>
              <w:rPr>
                <w:sz w:val="20"/>
                <w:szCs w:val="20"/>
              </w:rPr>
            </w:pPr>
            <w:r>
              <w:rPr>
                <w:sz w:val="20"/>
                <w:szCs w:val="20"/>
              </w:rPr>
              <w:t>Composition du foyer</w:t>
            </w:r>
          </w:p>
        </w:tc>
        <w:tc>
          <w:tcPr>
            <w:tcW w:w="2098" w:type="dxa"/>
            <w:tcBorders>
              <w:left w:val="single" w:sz="2" w:space="0" w:color="000000"/>
              <w:bottom w:val="single" w:sz="2" w:space="0" w:color="000000"/>
            </w:tcBorders>
          </w:tcPr>
          <w:p>
            <w:pPr>
              <w:pStyle w:val="Contenudetableau"/>
              <w:jc w:val="center"/>
              <w:rPr/>
            </w:pPr>
            <w:r>
              <w:rPr/>
              <w:t xml:space="preserve">Abonnement </w:t>
            </w:r>
          </w:p>
        </w:tc>
        <w:tc>
          <w:tcPr>
            <w:tcW w:w="2098" w:type="dxa"/>
            <w:tcBorders>
              <w:left w:val="single" w:sz="2" w:space="0" w:color="000000"/>
              <w:bottom w:val="single" w:sz="2" w:space="0" w:color="000000"/>
            </w:tcBorders>
          </w:tcPr>
          <w:p>
            <w:pPr>
              <w:pStyle w:val="Contenudetableau"/>
              <w:jc w:val="center"/>
              <w:rPr/>
            </w:pPr>
            <w:r>
              <w:rPr/>
              <w:t>forfait</w:t>
            </w:r>
          </w:p>
        </w:tc>
        <w:tc>
          <w:tcPr>
            <w:tcW w:w="2098" w:type="dxa"/>
            <w:tcBorders>
              <w:left w:val="single" w:sz="2" w:space="0" w:color="000000"/>
              <w:bottom w:val="single" w:sz="2" w:space="0" w:color="000000"/>
            </w:tcBorders>
          </w:tcPr>
          <w:p>
            <w:pPr>
              <w:pStyle w:val="Contenudetableau"/>
              <w:jc w:val="center"/>
              <w:rPr/>
            </w:pPr>
            <w:r>
              <w:rPr/>
              <w:t>total</w:t>
            </w:r>
          </w:p>
        </w:tc>
        <w:tc>
          <w:tcPr>
            <w:tcW w:w="2098" w:type="dxa"/>
            <w:vMerge w:val="restart"/>
            <w:tcBorders>
              <w:left w:val="single" w:sz="2" w:space="0" w:color="000000"/>
              <w:bottom w:val="single" w:sz="2" w:space="0" w:color="000000"/>
              <w:right w:val="single" w:sz="2" w:space="0" w:color="000000"/>
            </w:tcBorders>
          </w:tcPr>
          <w:p>
            <w:pPr>
              <w:pStyle w:val="Normal"/>
              <w:jc w:val="left"/>
              <w:rPr>
                <w:rFonts w:ascii="Barlow-Medium" w:hAnsi="Barlow-Medium"/>
                <w:sz w:val="24"/>
                <w:szCs w:val="24"/>
              </w:rPr>
            </w:pPr>
            <w:r>
              <w:rPr>
                <w:rFonts w:ascii="Barlow-Medium" w:hAnsi="Barlow-Medium"/>
                <w:sz w:val="24"/>
                <w:szCs w:val="24"/>
              </w:rPr>
              <w:t>1 ouverture</w:t>
            </w:r>
          </w:p>
          <w:p>
            <w:pPr>
              <w:pStyle w:val="Normal"/>
              <w:jc w:val="left"/>
              <w:rPr>
                <w:rFonts w:ascii="Barlow-Medium" w:hAnsi="Barlow-Medium"/>
                <w:sz w:val="24"/>
                <w:szCs w:val="24"/>
              </w:rPr>
            </w:pPr>
            <w:r>
              <w:rPr>
                <w:rFonts w:ascii="Barlow-Medium" w:hAnsi="Barlow-Medium"/>
                <w:sz w:val="24"/>
                <w:szCs w:val="24"/>
              </w:rPr>
              <w:t>supplémentaire =</w:t>
            </w:r>
          </w:p>
          <w:p>
            <w:pPr>
              <w:pStyle w:val="Normal"/>
              <w:jc w:val="left"/>
              <w:rPr>
                <w:rFonts w:ascii="Barlow-Medium" w:hAnsi="Barlow-Medium"/>
                <w:sz w:val="24"/>
                <w:szCs w:val="24"/>
              </w:rPr>
            </w:pPr>
            <w:r>
              <w:rPr>
                <w:rFonts w:ascii="Barlow-Medium" w:hAnsi="Barlow-Medium"/>
                <w:sz w:val="24"/>
                <w:szCs w:val="24"/>
              </w:rPr>
              <w:t>4,5 ct /litre soit</w:t>
            </w:r>
          </w:p>
          <w:p>
            <w:pPr>
              <w:pStyle w:val="Normal"/>
              <w:jc w:val="left"/>
              <w:rPr>
                <w:rFonts w:ascii="Barlow-Medium" w:hAnsi="Barlow-Medium"/>
                <w:sz w:val="24"/>
                <w:szCs w:val="24"/>
              </w:rPr>
            </w:pPr>
            <w:r>
              <w:rPr>
                <w:rFonts w:ascii="Barlow-Medium" w:hAnsi="Barlow-Medium"/>
                <w:sz w:val="24"/>
                <w:szCs w:val="24"/>
              </w:rPr>
              <w:t>autour de 2,70 €</w:t>
            </w:r>
          </w:p>
          <w:p>
            <w:pPr>
              <w:pStyle w:val="Normal"/>
              <w:jc w:val="left"/>
              <w:rPr>
                <w:rFonts w:ascii="Barlow-Medium" w:hAnsi="Barlow-Medium"/>
                <w:sz w:val="15"/>
              </w:rPr>
            </w:pPr>
            <w:r>
              <w:rPr>
                <w:rFonts w:ascii="Barlow-Medium" w:hAnsi="Barlow-Medium"/>
                <w:sz w:val="15"/>
              </w:rPr>
            </w:r>
          </w:p>
          <w:p>
            <w:pPr>
              <w:pStyle w:val="Normal"/>
              <w:jc w:val="left"/>
              <w:rPr>
                <w:i/>
                <w:i/>
                <w:iCs/>
              </w:rPr>
            </w:pPr>
            <w:r>
              <w:rPr>
                <w:i/>
                <w:iCs/>
              </w:rPr>
              <w:t>2 sacs noirs de 30l à chaque fois</w:t>
            </w:r>
          </w:p>
        </w:tc>
      </w:tr>
      <w:tr>
        <w:trPr/>
        <w:tc>
          <w:tcPr>
            <w:tcW w:w="2098" w:type="dxa"/>
            <w:tcBorders>
              <w:left w:val="single" w:sz="2" w:space="0" w:color="000000"/>
              <w:bottom w:val="single" w:sz="2" w:space="0" w:color="000000"/>
            </w:tcBorders>
          </w:tcPr>
          <w:p>
            <w:pPr>
              <w:pStyle w:val="Contenudetableau"/>
              <w:jc w:val="left"/>
              <w:rPr/>
            </w:pPr>
            <w:r>
              <w:rPr/>
              <w:t>1 à 2 personnes</w:t>
            </w:r>
          </w:p>
        </w:tc>
        <w:tc>
          <w:tcPr>
            <w:tcW w:w="2098" w:type="dxa"/>
            <w:vMerge w:val="restart"/>
            <w:tcBorders>
              <w:left w:val="single" w:sz="2" w:space="0" w:color="000000"/>
              <w:bottom w:val="single" w:sz="2" w:space="0" w:color="000000"/>
            </w:tcBorders>
          </w:tcPr>
          <w:p>
            <w:pPr>
              <w:pStyle w:val="Normal"/>
              <w:jc w:val="center"/>
              <w:rPr>
                <w:rFonts w:ascii="Barlow-Regular" w:hAnsi="Barlow-Regular"/>
                <w:sz w:val="24"/>
                <w:szCs w:val="24"/>
              </w:rPr>
            </w:pPr>
            <w:r>
              <w:rPr>
                <w:rFonts w:ascii="Barlow-Regular" w:hAnsi="Barlow-Regular"/>
                <w:sz w:val="24"/>
                <w:szCs w:val="24"/>
              </w:rPr>
            </w:r>
          </w:p>
          <w:p>
            <w:pPr>
              <w:pStyle w:val="Normal"/>
              <w:jc w:val="center"/>
              <w:rPr>
                <w:rFonts w:ascii="Barlow-Regular" w:hAnsi="Barlow-Regular"/>
                <w:sz w:val="24"/>
                <w:szCs w:val="24"/>
              </w:rPr>
            </w:pPr>
            <w:r>
              <w:rPr>
                <w:rFonts w:ascii="Barlow-Regular" w:hAnsi="Barlow-Regular"/>
                <w:sz w:val="24"/>
                <w:szCs w:val="24"/>
              </w:rPr>
            </w:r>
          </w:p>
          <w:p>
            <w:pPr>
              <w:pStyle w:val="Normal"/>
              <w:jc w:val="center"/>
              <w:rPr>
                <w:rFonts w:ascii="Barlow-Regular" w:hAnsi="Barlow-Regular"/>
                <w:sz w:val="24"/>
                <w:szCs w:val="24"/>
              </w:rPr>
            </w:pPr>
            <w:r>
              <w:rPr>
                <w:rFonts w:ascii="Barlow-Regular" w:hAnsi="Barlow-Regular"/>
                <w:sz w:val="24"/>
                <w:szCs w:val="24"/>
              </w:rPr>
              <w:t>Entre 80 €</w:t>
            </w:r>
          </w:p>
          <w:p>
            <w:pPr>
              <w:pStyle w:val="Normal"/>
              <w:jc w:val="center"/>
              <w:rPr>
                <w:rFonts w:ascii="Barlow-Regular" w:hAnsi="Barlow-Regular"/>
                <w:sz w:val="24"/>
                <w:szCs w:val="24"/>
              </w:rPr>
            </w:pPr>
            <w:r>
              <w:rPr>
                <w:rFonts w:ascii="Barlow-Regular" w:hAnsi="Barlow-Regular"/>
                <w:sz w:val="24"/>
                <w:szCs w:val="24"/>
              </w:rPr>
              <w:t>et 100 €</w:t>
            </w:r>
          </w:p>
        </w:tc>
        <w:tc>
          <w:tcPr>
            <w:tcW w:w="2098" w:type="dxa"/>
            <w:tcBorders>
              <w:left w:val="single" w:sz="2" w:space="0" w:color="000000"/>
              <w:bottom w:val="single" w:sz="2" w:space="0" w:color="000000"/>
            </w:tcBorders>
          </w:tcPr>
          <w:p>
            <w:pPr>
              <w:pStyle w:val="Contenudetableau"/>
              <w:jc w:val="center"/>
              <w:rPr>
                <w:sz w:val="22"/>
                <w:szCs w:val="22"/>
              </w:rPr>
            </w:pPr>
            <w:r>
              <w:rPr>
                <w:sz w:val="22"/>
                <w:szCs w:val="22"/>
              </w:rPr>
              <w:t>24 levées/an →  65€</w:t>
            </w:r>
          </w:p>
        </w:tc>
        <w:tc>
          <w:tcPr>
            <w:tcW w:w="2098" w:type="dxa"/>
            <w:tcBorders>
              <w:left w:val="single" w:sz="2" w:space="0" w:color="000000"/>
              <w:bottom w:val="single" w:sz="2" w:space="0" w:color="000000"/>
            </w:tcBorders>
          </w:tcPr>
          <w:p>
            <w:pPr>
              <w:pStyle w:val="Normal"/>
              <w:jc w:val="left"/>
              <w:rPr>
                <w:rFonts w:ascii="Barlow-Medium" w:hAnsi="Barlow-Medium"/>
                <w:sz w:val="24"/>
                <w:szCs w:val="24"/>
              </w:rPr>
            </w:pPr>
            <w:r>
              <w:rPr>
                <w:rFonts w:ascii="Barlow-Medium" w:hAnsi="Barlow-Medium"/>
                <w:sz w:val="24"/>
                <w:szCs w:val="24"/>
              </w:rPr>
              <w:t>e</w:t>
            </w:r>
            <w:r>
              <w:rPr>
                <w:rFonts w:ascii="Barlow-Medium" w:hAnsi="Barlow-Medium"/>
                <w:sz w:val="24"/>
                <w:szCs w:val="24"/>
              </w:rPr>
              <w:t>ntre 145 €</w:t>
            </w:r>
          </w:p>
          <w:p>
            <w:pPr>
              <w:pStyle w:val="Normal"/>
              <w:jc w:val="left"/>
              <w:rPr>
                <w:rFonts w:ascii="Barlow-Medium" w:hAnsi="Barlow-Medium"/>
                <w:sz w:val="24"/>
                <w:szCs w:val="24"/>
              </w:rPr>
            </w:pPr>
            <w:r>
              <w:rPr>
                <w:rFonts w:ascii="Barlow-Medium" w:hAnsi="Barlow-Medium"/>
                <w:sz w:val="24"/>
                <w:szCs w:val="24"/>
              </w:rPr>
              <w:t>et 165 €/ an</w:t>
            </w:r>
          </w:p>
        </w:tc>
        <w:tc>
          <w:tcPr>
            <w:tcW w:w="2098" w:type="dxa"/>
            <w:vMerge w:val="continue"/>
            <w:tcBorders>
              <w:left w:val="single" w:sz="2" w:space="0" w:color="000000"/>
              <w:bottom w:val="single" w:sz="2" w:space="0" w:color="000000"/>
              <w:right w:val="single" w:sz="2" w:space="0" w:color="000000"/>
            </w:tcBorders>
          </w:tcPr>
          <w:p>
            <w:pPr>
              <w:pStyle w:val="Normal"/>
              <w:rPr/>
            </w:pPr>
            <w:r>
              <w:rPr/>
            </w:r>
          </w:p>
        </w:tc>
      </w:tr>
      <w:tr>
        <w:trPr/>
        <w:tc>
          <w:tcPr>
            <w:tcW w:w="2098" w:type="dxa"/>
            <w:tcBorders>
              <w:left w:val="single" w:sz="2" w:space="0" w:color="000000"/>
              <w:bottom w:val="single" w:sz="2" w:space="0" w:color="000000"/>
            </w:tcBorders>
          </w:tcPr>
          <w:p>
            <w:pPr>
              <w:pStyle w:val="Contenudetableau"/>
              <w:jc w:val="left"/>
              <w:rPr/>
            </w:pPr>
            <w:r>
              <w:rPr/>
              <w:t>3 ou 4</w:t>
            </w:r>
          </w:p>
        </w:tc>
        <w:tc>
          <w:tcPr>
            <w:tcW w:w="2098" w:type="dxa"/>
            <w:vMerge w:val="continue"/>
            <w:tcBorders>
              <w:left w:val="single" w:sz="2" w:space="0" w:color="000000"/>
              <w:bottom w:val="single" w:sz="2" w:space="0" w:color="000000"/>
            </w:tcBorders>
          </w:tcPr>
          <w:p>
            <w:pPr>
              <w:pStyle w:val="Normal"/>
              <w:rPr/>
            </w:pPr>
            <w:r>
              <w:rPr/>
            </w:r>
          </w:p>
        </w:tc>
        <w:tc>
          <w:tcPr>
            <w:tcW w:w="2098" w:type="dxa"/>
            <w:tcBorders>
              <w:left w:val="single" w:sz="2" w:space="0" w:color="000000"/>
              <w:bottom w:val="single" w:sz="2" w:space="0" w:color="000000"/>
            </w:tcBorders>
          </w:tcPr>
          <w:p>
            <w:pPr>
              <w:pStyle w:val="Contenudetableau"/>
              <w:jc w:val="left"/>
              <w:rPr/>
            </w:pPr>
            <w:r>
              <w:rPr/>
              <w:t>48/an → 130€</w:t>
            </w:r>
          </w:p>
        </w:tc>
        <w:tc>
          <w:tcPr>
            <w:tcW w:w="2098" w:type="dxa"/>
            <w:tcBorders>
              <w:left w:val="single" w:sz="2" w:space="0" w:color="000000"/>
              <w:bottom w:val="single" w:sz="2" w:space="0" w:color="000000"/>
            </w:tcBorders>
          </w:tcPr>
          <w:p>
            <w:pPr>
              <w:pStyle w:val="Normal"/>
              <w:jc w:val="left"/>
              <w:rPr>
                <w:rFonts w:ascii="Barlow-Medium" w:hAnsi="Barlow-Medium"/>
                <w:sz w:val="24"/>
                <w:szCs w:val="24"/>
              </w:rPr>
            </w:pPr>
            <w:r>
              <w:rPr>
                <w:rFonts w:ascii="Barlow-Medium" w:hAnsi="Barlow-Medium"/>
                <w:sz w:val="24"/>
                <w:szCs w:val="24"/>
              </w:rPr>
              <w:t>e</w:t>
            </w:r>
            <w:r>
              <w:rPr>
                <w:rFonts w:ascii="Barlow-Medium" w:hAnsi="Barlow-Medium"/>
                <w:sz w:val="24"/>
                <w:szCs w:val="24"/>
              </w:rPr>
              <w:t>ntre 210 €</w:t>
            </w:r>
          </w:p>
          <w:p>
            <w:pPr>
              <w:pStyle w:val="Normal"/>
              <w:jc w:val="left"/>
              <w:rPr>
                <w:rFonts w:ascii="Barlow-Medium" w:hAnsi="Barlow-Medium"/>
                <w:sz w:val="24"/>
                <w:szCs w:val="24"/>
              </w:rPr>
            </w:pPr>
            <w:r>
              <w:rPr>
                <w:rFonts w:ascii="Barlow-Medium" w:hAnsi="Barlow-Medium"/>
                <w:sz w:val="24"/>
                <w:szCs w:val="24"/>
              </w:rPr>
              <w:t>et 230 €/ an</w:t>
            </w:r>
          </w:p>
        </w:tc>
        <w:tc>
          <w:tcPr>
            <w:tcW w:w="2098" w:type="dxa"/>
            <w:vMerge w:val="continue"/>
            <w:tcBorders>
              <w:left w:val="single" w:sz="2" w:space="0" w:color="000000"/>
              <w:bottom w:val="single" w:sz="2" w:space="0" w:color="000000"/>
              <w:right w:val="single" w:sz="2" w:space="0" w:color="000000"/>
            </w:tcBorders>
          </w:tcPr>
          <w:p>
            <w:pPr>
              <w:pStyle w:val="Normal"/>
              <w:rPr/>
            </w:pPr>
            <w:r>
              <w:rPr/>
            </w:r>
          </w:p>
        </w:tc>
      </w:tr>
      <w:tr>
        <w:trPr/>
        <w:tc>
          <w:tcPr>
            <w:tcW w:w="2098" w:type="dxa"/>
            <w:tcBorders>
              <w:left w:val="single" w:sz="2" w:space="0" w:color="000000"/>
              <w:bottom w:val="single" w:sz="2" w:space="0" w:color="000000"/>
            </w:tcBorders>
          </w:tcPr>
          <w:p>
            <w:pPr>
              <w:pStyle w:val="Contenudetableau"/>
              <w:jc w:val="left"/>
              <w:rPr/>
            </w:pPr>
            <w:r>
              <w:rPr/>
              <w:t>5 et plus</w:t>
            </w:r>
          </w:p>
        </w:tc>
        <w:tc>
          <w:tcPr>
            <w:tcW w:w="2098" w:type="dxa"/>
            <w:vMerge w:val="continue"/>
            <w:tcBorders>
              <w:left w:val="single" w:sz="2" w:space="0" w:color="000000"/>
              <w:bottom w:val="single" w:sz="2" w:space="0" w:color="000000"/>
            </w:tcBorders>
          </w:tcPr>
          <w:p>
            <w:pPr>
              <w:pStyle w:val="Normal"/>
              <w:rPr/>
            </w:pPr>
            <w:r>
              <w:rPr/>
            </w:r>
          </w:p>
        </w:tc>
        <w:tc>
          <w:tcPr>
            <w:tcW w:w="2098" w:type="dxa"/>
            <w:tcBorders>
              <w:left w:val="single" w:sz="2" w:space="0" w:color="000000"/>
              <w:bottom w:val="single" w:sz="2" w:space="0" w:color="000000"/>
            </w:tcBorders>
          </w:tcPr>
          <w:p>
            <w:pPr>
              <w:pStyle w:val="Normal"/>
              <w:jc w:val="left"/>
              <w:rPr>
                <w:rFonts w:ascii="Barlow-Regular" w:hAnsi="Barlow-Regular"/>
                <w:sz w:val="24"/>
                <w:szCs w:val="24"/>
              </w:rPr>
            </w:pPr>
            <w:r>
              <w:rPr>
                <w:rFonts w:ascii="Barlow-Regular" w:hAnsi="Barlow-Regular"/>
                <w:sz w:val="24"/>
                <w:szCs w:val="24"/>
              </w:rPr>
              <w:t>72/an → 195 €</w:t>
            </w:r>
          </w:p>
        </w:tc>
        <w:tc>
          <w:tcPr>
            <w:tcW w:w="2098" w:type="dxa"/>
            <w:tcBorders>
              <w:left w:val="single" w:sz="2" w:space="0" w:color="000000"/>
              <w:bottom w:val="single" w:sz="2" w:space="0" w:color="000000"/>
            </w:tcBorders>
          </w:tcPr>
          <w:p>
            <w:pPr>
              <w:pStyle w:val="Normal"/>
              <w:jc w:val="left"/>
              <w:rPr>
                <w:rFonts w:ascii="Barlow-Medium" w:hAnsi="Barlow-Medium"/>
                <w:sz w:val="24"/>
                <w:szCs w:val="24"/>
              </w:rPr>
            </w:pPr>
            <w:r>
              <w:rPr>
                <w:rFonts w:ascii="Barlow-Medium" w:hAnsi="Barlow-Medium"/>
                <w:sz w:val="24"/>
                <w:szCs w:val="24"/>
              </w:rPr>
              <w:t>e</w:t>
            </w:r>
            <w:r>
              <w:rPr>
                <w:rFonts w:ascii="Barlow-Medium" w:hAnsi="Barlow-Medium"/>
                <w:sz w:val="24"/>
                <w:szCs w:val="24"/>
              </w:rPr>
              <w:t>ntre 275 €</w:t>
            </w:r>
          </w:p>
          <w:p>
            <w:pPr>
              <w:pStyle w:val="Normal"/>
              <w:jc w:val="left"/>
              <w:rPr>
                <w:rFonts w:ascii="Barlow-Medium" w:hAnsi="Barlow-Medium"/>
                <w:sz w:val="24"/>
                <w:szCs w:val="24"/>
              </w:rPr>
            </w:pPr>
            <w:r>
              <w:rPr>
                <w:rFonts w:ascii="Barlow-Medium" w:hAnsi="Barlow-Medium"/>
                <w:sz w:val="24"/>
                <w:szCs w:val="24"/>
              </w:rPr>
              <w:t>et 295 €/ an</w:t>
            </w:r>
          </w:p>
        </w:tc>
        <w:tc>
          <w:tcPr>
            <w:tcW w:w="2098" w:type="dxa"/>
            <w:vMerge w:val="continue"/>
            <w:tcBorders>
              <w:left w:val="single" w:sz="2" w:space="0" w:color="000000"/>
              <w:bottom w:val="single" w:sz="2" w:space="0" w:color="000000"/>
              <w:right w:val="single" w:sz="2" w:space="0" w:color="000000"/>
            </w:tcBorders>
          </w:tcPr>
          <w:p>
            <w:pPr>
              <w:pStyle w:val="Normal"/>
              <w:rPr/>
            </w:pPr>
            <w:r>
              <w:rPr/>
            </w:r>
          </w:p>
        </w:tc>
      </w:tr>
    </w:tbl>
    <w:p>
      <w:pPr>
        <w:pStyle w:val="Default"/>
        <w:rPr>
          <w:b w:val="false"/>
          <w:b w:val="false"/>
          <w:bCs w:val="false"/>
          <w:strike w:val="false"/>
          <w:dstrike w:val="false"/>
          <w:color w:val="000000"/>
          <w:sz w:val="28"/>
          <w:szCs w:val="28"/>
          <w:u w:val="single"/>
        </w:rPr>
      </w:pPr>
      <w:r>
        <w:rPr>
          <w:b w:val="false"/>
          <w:bCs w:val="false"/>
          <w:strike w:val="false"/>
          <w:dstrike w:val="false"/>
          <w:color w:val="000000"/>
          <w:sz w:val="28"/>
          <w:szCs w:val="28"/>
          <w:u w:val="single"/>
        </w:rPr>
      </w:r>
    </w:p>
    <w:p>
      <w:pPr>
        <w:pStyle w:val="Default"/>
        <w:rPr>
          <w:b w:val="false"/>
          <w:b w:val="false"/>
          <w:bCs w:val="false"/>
          <w:strike w:val="false"/>
          <w:dstrike w:val="false"/>
          <w:color w:val="000000"/>
          <w:sz w:val="28"/>
          <w:szCs w:val="28"/>
          <w:u w:val="single"/>
        </w:rPr>
      </w:pPr>
      <w:r>
        <w:rPr>
          <w:b w:val="false"/>
          <w:bCs w:val="false"/>
          <w:strike w:val="false"/>
          <w:dstrike w:val="false"/>
          <w:color w:val="000000"/>
          <w:sz w:val="28"/>
          <w:szCs w:val="28"/>
          <w:u w:val="single"/>
        </w:rPr>
      </w:r>
    </w:p>
    <w:p>
      <w:pPr>
        <w:pStyle w:val="Default"/>
        <w:rPr>
          <w:b w:val="false"/>
          <w:b w:val="false"/>
          <w:bCs w:val="false"/>
          <w:strike w:val="false"/>
          <w:dstrike w:val="false"/>
          <w:color w:val="000000"/>
          <w:sz w:val="28"/>
          <w:szCs w:val="28"/>
          <w:u w:val="single"/>
        </w:rPr>
      </w:pPr>
      <w:r>
        <w:rPr>
          <w:b w:val="false"/>
          <w:bCs w:val="false"/>
          <w:strike w:val="false"/>
          <w:dstrike w:val="false"/>
          <w:color w:val="000000"/>
          <w:sz w:val="28"/>
          <w:szCs w:val="28"/>
          <w:u w:val="single"/>
        </w:rPr>
      </w:r>
    </w:p>
    <w:p>
      <w:pPr>
        <w:pStyle w:val="Default"/>
        <w:rPr>
          <w:b w:val="false"/>
          <w:b w:val="false"/>
          <w:bCs w:val="false"/>
          <w:strike w:val="false"/>
          <w:dstrike w:val="false"/>
          <w:color w:val="000000"/>
          <w:sz w:val="18"/>
          <w:szCs w:val="24"/>
          <w:u w:val="single"/>
        </w:rPr>
      </w:pPr>
      <w:r>
        <w:rPr>
          <w:b w:val="false"/>
          <w:bCs w:val="false"/>
          <w:strike w:val="false"/>
          <w:dstrike w:val="false"/>
          <w:color w:val="000000"/>
          <w:sz w:val="18"/>
          <w:szCs w:val="24"/>
          <w:u w:val="single"/>
        </w:rPr>
        <w:t xml:space="preserve">tableau annoncé </w:t>
      </w:r>
      <w:r>
        <w:rPr>
          <w:b w:val="false"/>
          <w:bCs w:val="false"/>
          <w:strike w:val="false"/>
          <w:dstrike w:val="false"/>
          <w:color w:val="000000"/>
          <w:sz w:val="18"/>
          <w:szCs w:val="24"/>
          <w:u w:val="single"/>
        </w:rPr>
        <w:t xml:space="preserve">par bureau d'étude </w:t>
      </w:r>
      <w:r>
        <w:rPr>
          <w:b w:val="false"/>
          <w:bCs w:val="false"/>
          <w:strike w:val="false"/>
          <w:dstrike w:val="false"/>
          <w:color w:val="000000"/>
          <w:sz w:val="18"/>
          <w:szCs w:val="24"/>
          <w:u w:val="single"/>
        </w:rPr>
        <w:t xml:space="preserve">en </w:t>
      </w:r>
      <w:r>
        <w:rPr>
          <w:b/>
          <w:bCs/>
          <w:strike w:val="false"/>
          <w:dstrike w:val="false"/>
          <w:color w:val="000000"/>
          <w:sz w:val="18"/>
          <w:szCs w:val="24"/>
          <w:u w:val="single"/>
        </w:rPr>
        <w:t>sept. 202</w:t>
      </w:r>
      <w:r>
        <w:rPr>
          <w:b/>
          <w:bCs/>
          <w:strike w:val="false"/>
          <w:dstrike w:val="false"/>
          <w:color w:val="000000"/>
          <w:sz w:val="18"/>
          <w:szCs w:val="24"/>
          <w:u w:val="single"/>
        </w:rPr>
        <w:t xml:space="preserve">2 </w:t>
      </w:r>
      <w:r>
        <w:rPr>
          <w:b w:val="false"/>
          <w:bCs w:val="false"/>
          <w:strike w:val="false"/>
          <w:dstrike w:val="false"/>
          <w:color w:val="000000"/>
          <w:sz w:val="18"/>
          <w:szCs w:val="24"/>
          <w:u w:val="none"/>
        </w:rPr>
        <w:t>(</w:t>
      </w:r>
      <w:r>
        <w:rPr>
          <w:b w:val="false"/>
          <w:bCs w:val="false"/>
          <w:strike w:val="false"/>
          <w:dstrike w:val="false"/>
          <w:color w:val="000000"/>
          <w:sz w:val="18"/>
          <w:szCs w:val="24"/>
          <w:u w:val="none"/>
        </w:rPr>
        <w:t xml:space="preserve">tableau </w:t>
      </w:r>
      <w:r>
        <w:rPr>
          <w:b w:val="false"/>
          <w:bCs w:val="false"/>
          <w:strike w:val="false"/>
          <w:dstrike w:val="false"/>
          <w:color w:val="000000"/>
          <w:sz w:val="18"/>
          <w:szCs w:val="24"/>
          <w:u w:val="none"/>
        </w:rPr>
        <w:t>variable car 5 scénari et décision en nov. 2022)</w:t>
      </w:r>
    </w:p>
    <w:tbl>
      <w:tblPr>
        <w:tblW w:w="5000" w:type="pct"/>
        <w:jc w:val="left"/>
        <w:tblInd w:w="0" w:type="dxa"/>
        <w:tblLayout w:type="fixed"/>
        <w:tblCellMar>
          <w:top w:w="55" w:type="dxa"/>
          <w:left w:w="55" w:type="dxa"/>
          <w:bottom w:w="55" w:type="dxa"/>
          <w:right w:w="55" w:type="dxa"/>
        </w:tblCellMar>
      </w:tblPr>
      <w:tblGrid>
        <w:gridCol w:w="4201"/>
        <w:gridCol w:w="54"/>
        <w:gridCol w:w="4136"/>
        <w:gridCol w:w="2099"/>
      </w:tblGrid>
      <w:tr>
        <w:trPr/>
        <w:tc>
          <w:tcPr>
            <w:tcW w:w="10490" w:type="dxa"/>
            <w:gridSpan w:val="4"/>
            <w:tcBorders>
              <w:top w:val="single" w:sz="2" w:space="0" w:color="000000"/>
              <w:left w:val="single" w:sz="2" w:space="0" w:color="000000"/>
              <w:bottom w:val="single" w:sz="2" w:space="0" w:color="000000"/>
              <w:right w:val="single" w:sz="2" w:space="0" w:color="000000"/>
            </w:tcBorders>
          </w:tcPr>
          <w:p>
            <w:pPr>
              <w:pStyle w:val="Contenudetableau"/>
              <w:jc w:val="center"/>
              <w:rPr/>
            </w:pPr>
            <w:r>
              <w:rPr>
                <w:b/>
                <w:bCs/>
              </w:rPr>
              <w:t>Collecte en PAV</w:t>
            </w:r>
            <w:r>
              <w:rPr/>
              <w:t xml:space="preserve"> </w:t>
            </w:r>
            <w:r>
              <w:rPr/>
              <w:t>(</w:t>
            </w:r>
            <w:r>
              <w:rPr/>
              <w:t>accès 24h/24h</w:t>
            </w:r>
            <w:r>
              <w:rPr/>
              <w:t>)</w:t>
            </w:r>
          </w:p>
        </w:tc>
      </w:tr>
      <w:tr>
        <w:trPr/>
        <w:tc>
          <w:tcPr>
            <w:tcW w:w="8391" w:type="dxa"/>
            <w:gridSpan w:val="3"/>
            <w:tcBorders>
              <w:left w:val="single" w:sz="2" w:space="0" w:color="000000"/>
              <w:bottom w:val="single" w:sz="2" w:space="0" w:color="000000"/>
            </w:tcBorders>
          </w:tcPr>
          <w:p>
            <w:pPr>
              <w:pStyle w:val="Contenudetableau"/>
              <w:jc w:val="center"/>
              <w:rPr/>
            </w:pPr>
            <w:r>
              <w:rPr/>
              <w:t>part fixe</w:t>
            </w:r>
          </w:p>
        </w:tc>
        <w:tc>
          <w:tcPr>
            <w:tcW w:w="2099" w:type="dxa"/>
            <w:tcBorders>
              <w:left w:val="single" w:sz="2" w:space="0" w:color="000000"/>
              <w:bottom w:val="single" w:sz="2" w:space="0" w:color="000000"/>
              <w:right w:val="single" w:sz="2" w:space="0" w:color="000000"/>
            </w:tcBorders>
          </w:tcPr>
          <w:p>
            <w:pPr>
              <w:pStyle w:val="Contenudetableau"/>
              <w:jc w:val="left"/>
              <w:rPr/>
            </w:pPr>
            <w:r>
              <w:rPr/>
              <w:t>part variable</w:t>
            </w:r>
          </w:p>
        </w:tc>
      </w:tr>
      <w:tr>
        <w:trPr/>
        <w:tc>
          <w:tcPr>
            <w:tcW w:w="4201" w:type="dxa"/>
            <w:tcBorders>
              <w:left w:val="single" w:sz="2" w:space="0" w:color="000000"/>
              <w:bottom w:val="single" w:sz="2" w:space="0" w:color="000000"/>
            </w:tcBorders>
          </w:tcPr>
          <w:p>
            <w:pPr>
              <w:pStyle w:val="Contenudetableau"/>
              <w:jc w:val="center"/>
              <w:rPr>
                <w:sz w:val="24"/>
                <w:szCs w:val="24"/>
              </w:rPr>
            </w:pPr>
            <w:r>
              <w:rPr>
                <w:sz w:val="24"/>
                <w:szCs w:val="24"/>
              </w:rPr>
            </w:r>
          </w:p>
          <w:p>
            <w:pPr>
              <w:pStyle w:val="Contenudetableau"/>
              <w:jc w:val="center"/>
              <w:rPr>
                <w:sz w:val="24"/>
                <w:szCs w:val="24"/>
              </w:rPr>
            </w:pPr>
            <w:r>
              <w:rPr>
                <w:sz w:val="24"/>
                <w:szCs w:val="24"/>
              </w:rPr>
            </w:r>
          </w:p>
          <w:p>
            <w:pPr>
              <w:pStyle w:val="Contenudetableau"/>
              <w:jc w:val="center"/>
              <w:rPr>
                <w:sz w:val="24"/>
                <w:szCs w:val="24"/>
              </w:rPr>
            </w:pPr>
            <w:r>
              <w:rPr>
                <w:sz w:val="24"/>
                <w:szCs w:val="24"/>
              </w:rPr>
              <w:t xml:space="preserve">Quelque soit la composition du foyer </w:t>
            </w:r>
          </w:p>
        </w:tc>
        <w:tc>
          <w:tcPr>
            <w:tcW w:w="54" w:type="dxa"/>
            <w:tcBorders>
              <w:left w:val="single" w:sz="2" w:space="0" w:color="000000"/>
              <w:bottom w:val="single" w:sz="2" w:space="0" w:color="000000"/>
            </w:tcBorders>
          </w:tcPr>
          <w:p>
            <w:pPr>
              <w:pStyle w:val="Contenudetableau"/>
              <w:jc w:val="center"/>
              <w:rPr/>
            </w:pPr>
            <w:r>
              <w:rPr/>
            </w:r>
          </w:p>
        </w:tc>
        <w:tc>
          <w:tcPr>
            <w:tcW w:w="4136" w:type="dxa"/>
            <w:tcBorders>
              <w:left w:val="single" w:sz="2" w:space="0" w:color="000000"/>
              <w:bottom w:val="single" w:sz="2" w:space="0" w:color="000000"/>
            </w:tcBorders>
          </w:tcPr>
          <w:p>
            <w:pPr>
              <w:pStyle w:val="Contenudetableau"/>
              <w:jc w:val="center"/>
              <w:rPr/>
            </w:pPr>
            <w:r>
              <w:rPr/>
            </w:r>
          </w:p>
        </w:tc>
        <w:tc>
          <w:tcPr>
            <w:tcW w:w="2099" w:type="dxa"/>
            <w:tcBorders>
              <w:left w:val="single" w:sz="2" w:space="0" w:color="000000"/>
              <w:bottom w:val="single" w:sz="2" w:space="0" w:color="000000"/>
            </w:tcBorders>
          </w:tcPr>
          <w:p>
            <w:pPr>
              <w:pStyle w:val="Contenudetableau"/>
              <w:jc w:val="center"/>
              <w:rPr/>
            </w:pPr>
            <w:r>
              <w:rPr/>
              <w:t>Abonnement</w:t>
            </w:r>
          </w:p>
          <w:p>
            <w:pPr>
              <w:pStyle w:val="Contenudetableau"/>
              <w:jc w:val="center"/>
              <w:rPr/>
            </w:pPr>
            <w:r>
              <w:rPr/>
              <w:t>+</w:t>
            </w:r>
          </w:p>
          <w:p>
            <w:pPr>
              <w:pStyle w:val="Contenudetableau"/>
              <w:jc w:val="center"/>
              <w:rPr/>
            </w:pPr>
            <w:r>
              <w:rPr/>
              <w:t xml:space="preserve">forfait </w:t>
            </w:r>
          </w:p>
          <w:p>
            <w:pPr>
              <w:pStyle w:val="Contenudetableau"/>
              <w:jc w:val="center"/>
              <w:rPr/>
            </w:pPr>
            <w:r>
              <w:rPr/>
              <w:t>autour de 245€</w:t>
            </w:r>
          </w:p>
        </w:tc>
      </w:tr>
    </w:tbl>
    <w:p>
      <w:pPr>
        <w:pStyle w:val="Default"/>
        <w:rPr>
          <w:rFonts w:ascii="Liberation Sans" w:hAnsi="Liberation Sans"/>
          <w:b w:val="false"/>
          <w:b w:val="false"/>
          <w:bCs w:val="false"/>
          <w:color w:val="000000"/>
          <w:sz w:val="24"/>
          <w:szCs w:val="24"/>
          <w:u w:val="none"/>
        </w:rPr>
      </w:pPr>
      <w:r>
        <w:rPr>
          <w:rFonts w:ascii="Liberation Sans" w:hAnsi="Liberation Sans"/>
          <w:b w:val="false"/>
          <w:bCs w:val="false"/>
          <w:strike w:val="false"/>
          <w:dstrike w:val="false"/>
          <w:color w:val="000000"/>
          <w:sz w:val="24"/>
          <w:szCs w:val="24"/>
          <w:u w:val="none"/>
        </w:rPr>
        <w:t xml:space="preserve">Avec un taux escompté d'impayés de 5 % </w:t>
      </w:r>
      <w:r>
        <w:rPr>
          <w:rFonts w:ascii="Liberation Sans" w:hAnsi="Liberation Sans"/>
          <w:b w:val="false"/>
          <w:bCs w:val="false"/>
          <w:strike w:val="false"/>
          <w:dstrike w:val="false"/>
          <w:color w:val="C9211E"/>
          <w:sz w:val="24"/>
          <w:szCs w:val="24"/>
          <w:u w:val="none"/>
        </w:rPr>
        <w:t>(?)</w:t>
      </w:r>
    </w:p>
    <w:p>
      <w:pPr>
        <w:pStyle w:val="Default"/>
        <w:jc w:val="left"/>
        <w:rPr>
          <w:rFonts w:ascii="Liberation Sans" w:hAnsi="Liberation Sans"/>
          <w:b w:val="false"/>
          <w:b w:val="false"/>
          <w:bCs w:val="false"/>
          <w:strike w:val="false"/>
          <w:dstrike w:val="false"/>
          <w:color w:val="C9211E"/>
          <w:sz w:val="24"/>
          <w:szCs w:val="24"/>
          <w:u w:val="none"/>
        </w:rPr>
      </w:pPr>
      <w:r>
        <w:rPr>
          <w:rFonts w:ascii="Liberation Sans" w:hAnsi="Liberation Sans"/>
          <w:b w:val="false"/>
          <w:bCs w:val="false"/>
          <w:strike w:val="false"/>
          <w:dstrike w:val="false"/>
          <w:color w:val="C9211E"/>
          <w:sz w:val="24"/>
          <w:szCs w:val="24"/>
          <w:u w:val="none"/>
        </w:rPr>
      </w:r>
    </w:p>
    <w:p>
      <w:pPr>
        <w:pStyle w:val="Default"/>
        <w:jc w:val="left"/>
        <w:rPr>
          <w:rFonts w:ascii="Liberation Sans" w:hAnsi="Liberation Sans"/>
          <w:b w:val="false"/>
          <w:b w:val="false"/>
          <w:bCs w:val="false"/>
          <w:strike w:val="false"/>
          <w:dstrike w:val="false"/>
          <w:color w:val="C9211E"/>
          <w:sz w:val="24"/>
          <w:szCs w:val="24"/>
          <w:u w:val="none"/>
        </w:rPr>
      </w:pPr>
      <w:r>
        <w:rPr>
          <w:rFonts w:ascii="Liberation Sans" w:hAnsi="Liberation Sans"/>
          <w:b w:val="false"/>
          <w:bCs w:val="false"/>
          <w:strike w:val="false"/>
          <w:dstrike w:val="false"/>
          <w:color w:val="C9211E"/>
          <w:sz w:val="24"/>
          <w:szCs w:val="24"/>
          <w:u w:val="none"/>
        </w:rPr>
      </w:r>
    </w:p>
    <w:p>
      <w:pPr>
        <w:pStyle w:val="Default"/>
        <w:jc w:val="left"/>
        <w:rPr>
          <w:rFonts w:ascii="Liberation Sans" w:hAnsi="Liberation Sans"/>
          <w:b w:val="false"/>
          <w:b w:val="false"/>
          <w:bCs w:val="false"/>
          <w:strike w:val="false"/>
          <w:dstrike w:val="false"/>
          <w:color w:val="C9211E"/>
          <w:sz w:val="24"/>
          <w:szCs w:val="24"/>
          <w:u w:val="none"/>
        </w:rPr>
      </w:pPr>
      <w:r>
        <w:rPr>
          <w:rFonts w:ascii="Liberation Sans" w:hAnsi="Liberation Sans"/>
          <w:b w:val="false"/>
          <w:bCs w:val="false"/>
          <w:strike w:val="false"/>
          <w:dstrike w:val="false"/>
          <w:color w:val="C9211E"/>
          <w:sz w:val="24"/>
          <w:szCs w:val="24"/>
          <w:u w:val="none"/>
        </w:rPr>
      </w:r>
    </w:p>
    <w:p>
      <w:pPr>
        <w:pStyle w:val="Default"/>
        <w:rPr>
          <w:b w:val="false"/>
          <w:b w:val="false"/>
          <w:bCs w:val="false"/>
          <w:color w:val="C9211E"/>
          <w:sz w:val="28"/>
          <w:szCs w:val="28"/>
          <w:u w:val="single"/>
        </w:rPr>
      </w:pPr>
      <w:r>
        <w:rPr>
          <w:b w:val="false"/>
          <w:bCs w:val="false"/>
          <w:color w:val="C9211E"/>
          <w:sz w:val="28"/>
          <w:szCs w:val="28"/>
          <w:u w:val="single"/>
        </w:rPr>
        <w:t xml:space="preserve">pour info </w:t>
      </w:r>
    </w:p>
    <w:p>
      <w:pPr>
        <w:pStyle w:val="Default"/>
        <w:rPr>
          <w:b w:val="false"/>
          <w:b w:val="false"/>
          <w:bCs w:val="false"/>
          <w:color w:val="C9211E"/>
          <w:sz w:val="28"/>
          <w:szCs w:val="28"/>
        </w:rPr>
      </w:pPr>
      <w:r>
        <w:rPr>
          <w:b w:val="false"/>
          <w:bCs w:val="false"/>
          <w:color w:val="C9211E"/>
          <w:sz w:val="28"/>
          <w:szCs w:val="28"/>
        </w:rPr>
      </w:r>
    </w:p>
    <w:tbl>
      <w:tblPr>
        <w:tblW w:w="5000" w:type="pct"/>
        <w:jc w:val="left"/>
        <w:tblInd w:w="0" w:type="dxa"/>
        <w:tblLayout w:type="fixed"/>
        <w:tblCellMar>
          <w:top w:w="55" w:type="dxa"/>
          <w:left w:w="55" w:type="dxa"/>
          <w:bottom w:w="55" w:type="dxa"/>
          <w:right w:w="55" w:type="dxa"/>
        </w:tblCellMar>
      </w:tblPr>
      <w:tblGrid>
        <w:gridCol w:w="10490"/>
      </w:tblGrid>
      <w:tr>
        <w:trPr/>
        <w:tc>
          <w:tcPr>
            <w:tcW w:w="10490" w:type="dxa"/>
            <w:tcBorders>
              <w:top w:val="single" w:sz="2" w:space="0" w:color="000000"/>
              <w:left w:val="single" w:sz="2" w:space="0" w:color="000000"/>
              <w:bottom w:val="single" w:sz="2" w:space="0" w:color="000000"/>
              <w:right w:val="single" w:sz="2" w:space="0" w:color="000000"/>
            </w:tcBorders>
          </w:tcPr>
          <w:p>
            <w:pPr>
              <w:pStyle w:val="Normal"/>
              <w:jc w:val="center"/>
              <w:rPr>
                <w:b/>
                <w:b/>
                <w:bCs/>
                <w:color w:val="C9211E"/>
                <w:sz w:val="28"/>
                <w:szCs w:val="28"/>
              </w:rPr>
            </w:pPr>
            <w:r>
              <w:rPr>
                <w:b/>
                <w:bCs/>
                <w:color w:val="C9211E"/>
                <w:sz w:val="28"/>
                <w:szCs w:val="28"/>
              </w:rPr>
              <w:t>norme d'implantation des PAV</w:t>
            </w:r>
          </w:p>
        </w:tc>
      </w:tr>
      <w:tr>
        <w:trPr/>
        <w:tc>
          <w:tcPr>
            <w:tcW w:w="10490" w:type="dxa"/>
            <w:tcBorders>
              <w:left w:val="single" w:sz="2" w:space="0" w:color="000000"/>
              <w:bottom w:val="single" w:sz="2" w:space="0" w:color="000000"/>
              <w:right w:val="single" w:sz="2" w:space="0" w:color="000000"/>
            </w:tcBorders>
          </w:tcPr>
          <w:p>
            <w:pPr>
              <w:pStyle w:val="Normal"/>
              <w:jc w:val="center"/>
              <w:rPr>
                <w:b w:val="false"/>
                <w:b w:val="false"/>
                <w:bCs w:val="false"/>
                <w:color w:val="C9211E"/>
                <w:sz w:val="28"/>
                <w:szCs w:val="28"/>
              </w:rPr>
            </w:pPr>
            <w:r>
              <w:rPr>
                <w:b w:val="false"/>
                <w:bCs w:val="false"/>
                <w:color w:val="C9211E"/>
                <w:sz w:val="28"/>
                <w:szCs w:val="28"/>
              </w:rPr>
              <w:t>PAV aérien → 1 pour 80 hab          PAV enterré → 1 pour 120 hab</w:t>
            </w:r>
          </w:p>
        </w:tc>
      </w:tr>
    </w:tbl>
    <w:p>
      <w:pPr>
        <w:pStyle w:val="Normal"/>
        <w:spacing w:lineRule="auto" w:line="240"/>
        <w:ind w:left="0" w:right="0" w:hanging="0"/>
        <w:jc w:val="center"/>
        <w:rPr>
          <w:b/>
          <w:b/>
          <w:bCs/>
          <w:color w:val="C9211E"/>
          <w:sz w:val="26"/>
          <w:szCs w:val="26"/>
        </w:rPr>
      </w:pPr>
      <w:r>
        <w:rPr>
          <w:b w:val="false"/>
          <w:bCs w:val="false"/>
          <w:color w:val="C9211E"/>
          <w:sz w:val="26"/>
          <w:szCs w:val="26"/>
        </w:rPr>
        <w:t>m</w:t>
      </w:r>
      <w:r>
        <w:rPr>
          <w:b w:val="false"/>
          <w:bCs w:val="false"/>
          <w:color w:val="C9211E"/>
          <w:sz w:val="26"/>
          <w:szCs w:val="26"/>
        </w:rPr>
        <w:t>ais disparité sur le territoire de la Dordogne...</w:t>
      </w:r>
    </w:p>
    <w:p>
      <w:pPr>
        <w:pStyle w:val="Normal"/>
        <w:spacing w:lineRule="auto" w:line="240"/>
        <w:ind w:left="0" w:right="0" w:hanging="0"/>
        <w:jc w:val="left"/>
        <w:rPr>
          <w:b/>
          <w:b/>
          <w:bCs/>
          <w:color w:val="C9211E"/>
          <w:sz w:val="32"/>
        </w:rPr>
      </w:pPr>
      <w:r>
        <w:rPr>
          <w:b w:val="false"/>
          <w:bCs w:val="false"/>
          <w:color w:val="C9211E"/>
          <w:sz w:val="26"/>
          <w:szCs w:val="26"/>
        </w:rPr>
        <w:t xml:space="preserve">quant la question d'éloignement </w:t>
      </w:r>
      <w:r>
        <w:rPr>
          <w:b w:val="false"/>
          <w:bCs w:val="false"/>
          <w:color w:val="C9211E"/>
          <w:sz w:val="26"/>
          <w:szCs w:val="26"/>
        </w:rPr>
        <w:t xml:space="preserve">vis à vis </w:t>
      </w:r>
      <w:r>
        <w:rPr>
          <w:b w:val="false"/>
          <w:bCs w:val="false"/>
          <w:color w:val="C9211E"/>
          <w:sz w:val="26"/>
          <w:szCs w:val="26"/>
        </w:rPr>
        <w:t>d'un PAV ?</w:t>
      </w:r>
      <w:r>
        <w:rPr>
          <w:b w:val="false"/>
          <w:bCs w:val="false"/>
          <w:color w:val="C9211E"/>
          <w:sz w:val="28"/>
          <w:szCs w:val="28"/>
        </w:rPr>
        <w:t xml:space="preserve"> </w:t>
      </w:r>
      <w:r>
        <w:rPr>
          <w:b w:val="false"/>
          <w:bCs w:val="false"/>
          <w:color w:val="C9211E"/>
          <w:sz w:val="21"/>
          <w:szCs w:val="21"/>
        </w:rPr>
        <w:t xml:space="preserve">(il existe bien une jurisprudence </w:t>
      </w:r>
      <w:r>
        <w:rPr>
          <w:b w:val="false"/>
          <w:bCs w:val="false"/>
          <w:color w:val="C9211E"/>
          <w:sz w:val="21"/>
          <w:szCs w:val="21"/>
        </w:rPr>
        <w:t xml:space="preserve">pour le ramassage mais...) </w:t>
      </w:r>
      <w:r>
        <w:rPr>
          <w:b w:val="false"/>
          <w:bCs w:val="false"/>
          <w:color w:val="C9211E"/>
          <w:sz w:val="21"/>
          <w:szCs w:val="21"/>
        </w:rPr>
        <w:t xml:space="preserve"> </w:t>
      </w:r>
    </w:p>
    <w:p>
      <w:pPr>
        <w:pStyle w:val="Default"/>
        <w:jc w:val="left"/>
        <w:rPr>
          <w:rFonts w:ascii="Liberation Sans" w:hAnsi="Liberation Sans"/>
          <w:b/>
          <w:b/>
          <w:bCs/>
          <w:strike w:val="false"/>
          <w:dstrike w:val="false"/>
          <w:color w:val="C9211E"/>
          <w:sz w:val="32"/>
          <w:szCs w:val="24"/>
          <w:u w:val="single"/>
        </w:rPr>
      </w:pPr>
      <w:r>
        <w:rPr>
          <w:rFonts w:ascii="Liberation Sans" w:hAnsi="Liberation Sans"/>
          <w:b/>
          <w:bCs/>
          <w:strike w:val="false"/>
          <w:dstrike w:val="false"/>
          <w:color w:val="C9211E"/>
          <w:sz w:val="32"/>
          <w:szCs w:val="24"/>
          <w:u w:val="single"/>
        </w:rPr>
      </w:r>
    </w:p>
    <w:p>
      <w:pPr>
        <w:pStyle w:val="Default"/>
        <w:jc w:val="left"/>
        <w:rPr>
          <w:rFonts w:ascii="Liberation Sans" w:hAnsi="Liberation Sans"/>
          <w:b/>
          <w:b/>
          <w:bCs/>
          <w:strike w:val="false"/>
          <w:dstrike w:val="false"/>
          <w:color w:val="C9211E"/>
          <w:sz w:val="24"/>
          <w:szCs w:val="24"/>
          <w:u w:val="single"/>
        </w:rPr>
      </w:pPr>
      <w:r>
        <w:rPr>
          <w:rFonts w:ascii="Liberation Sans" w:hAnsi="Liberation Sans"/>
          <w:b/>
          <w:bCs/>
          <w:strike w:val="false"/>
          <w:dstrike w:val="false"/>
          <w:color w:val="C9211E"/>
          <w:sz w:val="24"/>
          <w:szCs w:val="24"/>
          <w:u w:val="single"/>
        </w:rPr>
      </w:r>
    </w:p>
    <w:p>
      <w:pPr>
        <w:pStyle w:val="Default"/>
        <w:jc w:val="left"/>
        <w:rPr>
          <w:rFonts w:ascii="Liberation Sans" w:hAnsi="Liberation Sans"/>
          <w:b/>
          <w:b/>
          <w:bCs/>
          <w:strike w:val="false"/>
          <w:dstrike w:val="false"/>
          <w:color w:val="C9211E"/>
          <w:sz w:val="24"/>
          <w:szCs w:val="24"/>
          <w:u w:val="single"/>
        </w:rPr>
      </w:pPr>
      <w:r>
        <w:rPr>
          <w:rFonts w:ascii="Liberation Sans" w:hAnsi="Liberation Sans"/>
          <w:b/>
          <w:bCs/>
          <w:strike w:val="false"/>
          <w:dstrike w:val="false"/>
          <w:color w:val="C9211E"/>
          <w:sz w:val="24"/>
          <w:szCs w:val="24"/>
          <w:u w:val="single"/>
        </w:rPr>
      </w:r>
    </w:p>
    <w:p>
      <w:pPr>
        <w:pStyle w:val="Default"/>
        <w:jc w:val="left"/>
        <w:rPr>
          <w:rFonts w:ascii="Liberation Sans" w:hAnsi="Liberation Sans"/>
          <w:b/>
          <w:b/>
          <w:bCs/>
          <w:strike w:val="false"/>
          <w:dstrike w:val="false"/>
          <w:color w:val="C9211E"/>
          <w:sz w:val="24"/>
          <w:szCs w:val="24"/>
          <w:u w:val="single"/>
        </w:rPr>
      </w:pPr>
      <w:r>
        <w:rPr>
          <w:rFonts w:ascii="Liberation Sans" w:hAnsi="Liberation Sans"/>
          <w:b/>
          <w:bCs/>
          <w:strike w:val="false"/>
          <w:dstrike w:val="false"/>
          <w:color w:val="C9211E"/>
          <w:sz w:val="24"/>
          <w:szCs w:val="24"/>
          <w:u w:val="single"/>
        </w:rPr>
      </w:r>
    </w:p>
    <w:p>
      <w:pPr>
        <w:pStyle w:val="Default"/>
        <w:jc w:val="left"/>
        <w:rPr>
          <w:rFonts w:ascii="Liberation Sans" w:hAnsi="Liberation Sans"/>
          <w:b/>
          <w:b/>
          <w:bCs/>
          <w:strike w:val="false"/>
          <w:dstrike w:val="false"/>
          <w:color w:val="C9211E"/>
          <w:sz w:val="24"/>
          <w:szCs w:val="24"/>
          <w:u w:val="single"/>
        </w:rPr>
      </w:pPr>
      <w:r>
        <w:rPr>
          <w:rFonts w:ascii="Liberation Sans" w:hAnsi="Liberation Sans"/>
          <w:b/>
          <w:bCs/>
          <w:strike w:val="false"/>
          <w:dstrike w:val="false"/>
          <w:color w:val="C9211E"/>
          <w:sz w:val="24"/>
          <w:szCs w:val="24"/>
          <w:u w:val="single"/>
        </w:rPr>
      </w:r>
    </w:p>
    <w:p>
      <w:pPr>
        <w:pStyle w:val="Default"/>
        <w:jc w:val="left"/>
        <w:rPr>
          <w:rFonts w:ascii="Liberation Sans" w:hAnsi="Liberation Sans"/>
          <w:b/>
          <w:b/>
          <w:bCs/>
          <w:strike w:val="false"/>
          <w:dstrike w:val="false"/>
          <w:color w:val="C9211E"/>
          <w:sz w:val="24"/>
          <w:szCs w:val="24"/>
          <w:u w:val="single"/>
        </w:rPr>
      </w:pPr>
      <w:r>
        <w:rPr>
          <w:rFonts w:ascii="Liberation Sans" w:hAnsi="Liberation Sans"/>
          <w:b/>
          <w:bCs/>
          <w:strike w:val="false"/>
          <w:dstrike w:val="false"/>
          <w:color w:val="C9211E"/>
          <w:sz w:val="24"/>
          <w:szCs w:val="24"/>
          <w:u w:val="single"/>
        </w:rPr>
      </w:r>
    </w:p>
    <w:p>
      <w:pPr>
        <w:pStyle w:val="Default"/>
        <w:jc w:val="left"/>
        <w:rPr>
          <w:rFonts w:ascii="Liberation Sans" w:hAnsi="Liberation Sans"/>
          <w:b/>
          <w:b/>
          <w:bCs/>
          <w:strike w:val="false"/>
          <w:dstrike w:val="false"/>
          <w:color w:val="C9211E"/>
          <w:sz w:val="24"/>
          <w:szCs w:val="24"/>
          <w:u w:val="single"/>
        </w:rPr>
      </w:pPr>
      <w:r>
        <w:rPr>
          <w:rFonts w:ascii="Liberation Sans" w:hAnsi="Liberation Sans"/>
          <w:b/>
          <w:bCs/>
          <w:strike w:val="false"/>
          <w:dstrike w:val="false"/>
          <w:color w:val="C9211E"/>
          <w:sz w:val="24"/>
          <w:szCs w:val="24"/>
          <w:u w:val="single"/>
        </w:rPr>
      </w:r>
    </w:p>
    <w:p>
      <w:pPr>
        <w:pStyle w:val="Default"/>
        <w:jc w:val="left"/>
        <w:rPr>
          <w:rFonts w:ascii="Liberation Sans" w:hAnsi="Liberation Sans"/>
          <w:b/>
          <w:b/>
          <w:bCs/>
          <w:strike w:val="false"/>
          <w:dstrike w:val="false"/>
          <w:color w:val="C9211E"/>
          <w:sz w:val="24"/>
          <w:szCs w:val="24"/>
          <w:u w:val="single"/>
        </w:rPr>
      </w:pPr>
      <w:r>
        <w:rPr>
          <w:rFonts w:ascii="Liberation Sans" w:hAnsi="Liberation Sans"/>
          <w:b/>
          <w:bCs/>
          <w:strike w:val="false"/>
          <w:dstrike w:val="false"/>
          <w:color w:val="C9211E"/>
          <w:sz w:val="24"/>
          <w:szCs w:val="24"/>
          <w:u w:val="single"/>
        </w:rPr>
        <w:drawing>
          <wp:anchor behindDoc="0" distT="0" distB="0" distL="0" distR="0" simplePos="0" locked="0" layoutInCell="0" allowOverlap="1" relativeHeight="6">
            <wp:simplePos x="0" y="0"/>
            <wp:positionH relativeFrom="column">
              <wp:posOffset>1214755</wp:posOffset>
            </wp:positionH>
            <wp:positionV relativeFrom="paragraph">
              <wp:posOffset>49530</wp:posOffset>
            </wp:positionV>
            <wp:extent cx="4588510" cy="5342255"/>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8"/>
                    <a:stretch>
                      <a:fillRect/>
                    </a:stretch>
                  </pic:blipFill>
                  <pic:spPr bwMode="auto">
                    <a:xfrm>
                      <a:off x="0" y="0"/>
                      <a:ext cx="4588510" cy="5342255"/>
                    </a:xfrm>
                    <a:prstGeom prst="rect">
                      <a:avLst/>
                    </a:prstGeom>
                  </pic:spPr>
                </pic:pic>
              </a:graphicData>
            </a:graphic>
          </wp:anchor>
        </w:drawing>
      </w:r>
    </w:p>
    <w:p>
      <w:pPr>
        <w:pStyle w:val="Default"/>
        <w:jc w:val="left"/>
        <w:rPr>
          <w:rFonts w:ascii="Liberation Sans" w:hAnsi="Liberation Sans"/>
          <w:b/>
          <w:b/>
          <w:bCs/>
          <w:strike w:val="false"/>
          <w:dstrike w:val="false"/>
          <w:color w:val="C9211E"/>
          <w:sz w:val="24"/>
          <w:szCs w:val="24"/>
          <w:u w:val="single"/>
        </w:rPr>
      </w:pPr>
      <w:r>
        <w:rPr>
          <w:rFonts w:ascii="Liberation Sans" w:hAnsi="Liberation Sans"/>
          <w:b/>
          <w:bCs/>
          <w:strike w:val="false"/>
          <w:dstrike w:val="false"/>
          <w:color w:val="C9211E"/>
          <w:sz w:val="24"/>
          <w:szCs w:val="24"/>
          <w:u w:val="single"/>
        </w:rPr>
      </w:r>
    </w:p>
    <w:p>
      <w:pPr>
        <w:pStyle w:val="Default"/>
        <w:jc w:val="left"/>
        <w:rPr>
          <w:rFonts w:ascii="Liberation Sans" w:hAnsi="Liberation Sans"/>
          <w:b/>
          <w:b/>
          <w:bCs/>
          <w:color w:val="0000FF"/>
          <w:sz w:val="24"/>
          <w:szCs w:val="24"/>
          <w:u w:val="single"/>
        </w:rPr>
      </w:pPr>
      <w:r>
        <w:rPr>
          <w:rFonts w:ascii="Liberation Sans" w:hAnsi="Liberation Sans"/>
          <w:b/>
          <w:bCs/>
          <w:strike w:val="false"/>
          <w:dstrike w:val="false"/>
          <w:color w:val="0000FF"/>
          <w:sz w:val="24"/>
          <w:szCs w:val="24"/>
          <w:u w:val="single"/>
        </w:rPr>
        <w:t xml:space="preserve">REOMI </w:t>
      </w:r>
      <w:r>
        <w:rPr>
          <w:rFonts w:ascii="Liberation Sans" w:hAnsi="Liberation Sans"/>
          <w:b/>
          <w:bCs/>
          <w:strike w:val="false"/>
          <w:dstrike w:val="false"/>
          <w:color w:val="0000FF"/>
          <w:sz w:val="24"/>
          <w:szCs w:val="24"/>
          <w:u w:val="single"/>
        </w:rPr>
        <w:t>a</w:t>
      </w:r>
      <w:r>
        <w:rPr>
          <w:rFonts w:ascii="Liberation Sans" w:hAnsi="Liberation Sans"/>
          <w:b/>
          <w:bCs/>
          <w:strike w:val="false"/>
          <w:dstrike w:val="false"/>
          <w:color w:val="0000FF"/>
          <w:sz w:val="24"/>
          <w:szCs w:val="24"/>
          <w:u w:val="single"/>
        </w:rPr>
        <w:t>u 1/01/2023</w:t>
      </w:r>
    </w:p>
    <w:p>
      <w:pPr>
        <w:pStyle w:val="Default"/>
        <w:jc w:val="left"/>
        <w:rPr>
          <w:rFonts w:ascii="Liberation Sans" w:hAnsi="Liberation Sans"/>
          <w:b w:val="false"/>
          <w:b w:val="false"/>
          <w:bCs w:val="false"/>
          <w:strike w:val="false"/>
          <w:dstrike w:val="false"/>
          <w:color w:val="C9211E"/>
          <w:sz w:val="24"/>
          <w:szCs w:val="24"/>
          <w:u w:val="none"/>
        </w:rPr>
      </w:pPr>
      <w:r>
        <w:rPr>
          <w:rFonts w:ascii="Liberation Sans" w:hAnsi="Liberation Sans"/>
          <w:b w:val="false"/>
          <w:bCs w:val="false"/>
          <w:strike w:val="false"/>
          <w:dstrike w:val="false"/>
          <w:color w:val="C9211E"/>
          <w:sz w:val="24"/>
          <w:szCs w:val="24"/>
          <w:u w:val="none"/>
        </w:rPr>
      </w:r>
    </w:p>
    <w:p>
      <w:pPr>
        <w:pStyle w:val="Default"/>
        <w:jc w:val="left"/>
        <w:rPr>
          <w:rFonts w:ascii="Liberation Sans" w:hAnsi="Liberation Sans"/>
          <w:b w:val="false"/>
          <w:b w:val="false"/>
          <w:bCs w:val="false"/>
          <w:strike w:val="false"/>
          <w:dstrike w:val="false"/>
          <w:color w:val="C9211E"/>
          <w:sz w:val="24"/>
          <w:szCs w:val="24"/>
          <w:u w:val="none"/>
        </w:rPr>
      </w:pPr>
      <w:r>
        <w:rPr>
          <w:rFonts w:ascii="Liberation Sans" w:hAnsi="Liberation Sans"/>
          <w:b w:val="false"/>
          <w:bCs w:val="false"/>
          <w:strike w:val="false"/>
          <w:dstrike w:val="false"/>
          <w:color w:val="C9211E"/>
          <w:sz w:val="24"/>
          <w:szCs w:val="24"/>
          <w:u w:val="none"/>
        </w:rPr>
      </w:r>
    </w:p>
    <w:p>
      <w:pPr>
        <w:pStyle w:val="Default"/>
        <w:jc w:val="left"/>
        <w:rPr>
          <w:rFonts w:ascii="Liberation Sans" w:hAnsi="Liberation Sans"/>
          <w:b w:val="false"/>
          <w:b w:val="false"/>
          <w:bCs w:val="false"/>
          <w:strike w:val="false"/>
          <w:dstrike w:val="false"/>
          <w:color w:val="C9211E"/>
          <w:sz w:val="24"/>
          <w:szCs w:val="24"/>
          <w:u w:val="none"/>
        </w:rPr>
      </w:pPr>
      <w:r>
        <w:rPr>
          <w:rFonts w:ascii="Liberation Sans" w:hAnsi="Liberation Sans"/>
          <w:b w:val="false"/>
          <w:bCs w:val="false"/>
          <w:strike w:val="false"/>
          <w:dstrike w:val="false"/>
          <w:color w:val="C9211E"/>
          <w:sz w:val="24"/>
          <w:szCs w:val="24"/>
          <w:u w:val="none"/>
        </w:rPr>
      </w:r>
    </w:p>
    <w:p>
      <w:pPr>
        <w:pStyle w:val="Normal"/>
        <w:jc w:val="left"/>
        <w:rPr>
          <w:rFonts w:ascii="GillSans" w:hAnsi="GillSans"/>
          <w:b/>
          <w:b/>
          <w:bCs/>
          <w:color w:val="000000"/>
          <w:sz w:val="22"/>
          <w:szCs w:val="22"/>
        </w:rPr>
      </w:pPr>
      <w:r>
        <w:rPr>
          <w:rFonts w:ascii="GillSans" w:hAnsi="GillSans"/>
          <w:b/>
          <w:bCs/>
          <w:color w:val="000000"/>
          <w:sz w:val="22"/>
          <w:szCs w:val="22"/>
        </w:rPr>
      </w:r>
    </w:p>
    <w:p>
      <w:pPr>
        <w:pStyle w:val="Normal"/>
        <w:jc w:val="center"/>
        <w:rPr>
          <w:b/>
          <w:b/>
          <w:bCs/>
          <w:color w:val="000000"/>
          <w:sz w:val="18"/>
          <w:szCs w:val="24"/>
          <w:u w:val="single"/>
        </w:rPr>
      </w:pPr>
      <w:r>
        <w:rPr>
          <w:b/>
          <w:bCs/>
          <w:color w:val="000000"/>
          <w:sz w:val="18"/>
          <w:szCs w:val="24"/>
          <w:u w:val="single"/>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drawing>
          <wp:anchor behindDoc="0" distT="0" distB="0" distL="0" distR="0" simplePos="0" locked="0" layoutInCell="0" allowOverlap="1" relativeHeight="7">
            <wp:simplePos x="0" y="0"/>
            <wp:positionH relativeFrom="column">
              <wp:posOffset>1047115</wp:posOffset>
            </wp:positionH>
            <wp:positionV relativeFrom="paragraph">
              <wp:posOffset>53975</wp:posOffset>
            </wp:positionV>
            <wp:extent cx="4787900" cy="4479290"/>
            <wp:effectExtent l="0" t="0" r="0" b="0"/>
            <wp:wrapSquare wrapText="largest"/>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9"/>
                    <a:stretch>
                      <a:fillRect/>
                    </a:stretch>
                  </pic:blipFill>
                  <pic:spPr bwMode="auto">
                    <a:xfrm>
                      <a:off x="0" y="0"/>
                      <a:ext cx="4787900" cy="4479290"/>
                    </a:xfrm>
                    <a:prstGeom prst="rect">
                      <a:avLst/>
                    </a:prstGeom>
                  </pic:spPr>
                </pic:pic>
              </a:graphicData>
            </a:graphic>
          </wp:anchor>
        </w:drawing>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drawing>
          <wp:anchor behindDoc="0" distT="0" distB="0" distL="0" distR="0" simplePos="0" locked="0" layoutInCell="0" allowOverlap="1" relativeHeight="8">
            <wp:simplePos x="0" y="0"/>
            <wp:positionH relativeFrom="column">
              <wp:posOffset>1477645</wp:posOffset>
            </wp:positionH>
            <wp:positionV relativeFrom="paragraph">
              <wp:posOffset>172720</wp:posOffset>
            </wp:positionV>
            <wp:extent cx="4316095" cy="3599180"/>
            <wp:effectExtent l="0" t="0" r="0" b="0"/>
            <wp:wrapSquare wrapText="largest"/>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10"/>
                    <a:stretch>
                      <a:fillRect/>
                    </a:stretch>
                  </pic:blipFill>
                  <pic:spPr bwMode="auto">
                    <a:xfrm>
                      <a:off x="0" y="0"/>
                      <a:ext cx="4316095" cy="3599180"/>
                    </a:xfrm>
                    <a:prstGeom prst="rect">
                      <a:avLst/>
                    </a:prstGeom>
                  </pic:spPr>
                </pic:pic>
              </a:graphicData>
            </a:graphic>
          </wp:anchor>
        </w:drawing>
      </w:r>
    </w:p>
    <w:p>
      <w:pPr>
        <w:pStyle w:val="Default"/>
        <w:rPr>
          <w:b/>
          <w:b/>
          <w:bCs/>
          <w:sz w:val="32"/>
        </w:rPr>
      </w:pPr>
      <w:r>
        <w:rPr>
          <w:b/>
          <w:bCs/>
          <w:sz w:val="32"/>
        </w:rPr>
      </w:r>
    </w:p>
    <w:p>
      <w:pPr>
        <w:pStyle w:val="Default"/>
        <w:rPr>
          <w:b/>
          <w:b/>
          <w:bCs/>
          <w:sz w:val="32"/>
        </w:rPr>
      </w:pPr>
      <w:r>
        <w:rPr>
          <w:b/>
          <w:bCs/>
          <w:sz w:val="32"/>
        </w:rPr>
        <w:t>résumé</w:t>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bCs/>
          <w:sz w:val="32"/>
        </w:rPr>
      </w:pPr>
      <w:r>
        <w:rPr>
          <w:b/>
          <w:bCs/>
          <w:sz w:val="32"/>
        </w:rPr>
      </w:r>
    </w:p>
    <w:p>
      <w:pPr>
        <w:pStyle w:val="Default"/>
        <w:rPr>
          <w:b/>
          <w:b/>
          <w:i/>
          <w:i/>
          <w:strike w:val="false"/>
          <w:dstrike w:val="false"/>
          <w:color w:val="000000"/>
          <w:sz w:val="23"/>
          <w:szCs w:val="22"/>
          <w:u w:val="single"/>
        </w:rPr>
      </w:pPr>
      <w:r>
        <w:rPr>
          <w:b/>
          <w:i/>
          <w:strike w:val="false"/>
          <w:dstrike w:val="false"/>
          <w:color w:val="000000"/>
          <w:sz w:val="23"/>
          <w:szCs w:val="22"/>
          <w:u w:val="single"/>
        </w:rPr>
      </w:r>
    </w:p>
    <w:sectPr>
      <w:type w:val="nextPage"/>
      <w:pgSz w:w="11906" w:h="16838"/>
      <w:pgMar w:left="730" w:right="686" w:gutter="0" w:header="0" w:top="20" w:footer="0" w:bottom="368"/>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Segoe UI">
    <w:charset w:val="01"/>
    <w:family w:val="roman"/>
    <w:pitch w:val="variable"/>
  </w:font>
  <w:font w:name="GillSans-SemiBold">
    <w:charset w:val="01"/>
    <w:family w:val="roman"/>
    <w:pitch w:val="variable"/>
  </w:font>
  <w:font w:name="GillSans">
    <w:charset w:val="01"/>
    <w:family w:val="roman"/>
    <w:pitch w:val="variable"/>
  </w:font>
  <w:font w:name="CIDFont+F7">
    <w:charset w:val="01"/>
    <w:family w:val="roman"/>
    <w:pitch w:val="variable"/>
  </w:font>
  <w:font w:name="TitilliumWeb-Bold">
    <w:charset w:val="01"/>
    <w:family w:val="roman"/>
    <w:pitch w:val="variable"/>
  </w:font>
  <w:font w:name="Barlow-Regular">
    <w:charset w:val="01"/>
    <w:family w:val="roman"/>
    <w:pitch w:val="variable"/>
  </w:font>
  <w:font w:name="Barlow-SemiBold">
    <w:charset w:val="01"/>
    <w:family w:val="roman"/>
    <w:pitch w:val="variable"/>
  </w:font>
  <w:font w:name="Barlow-MediumItalic">
    <w:charset w:val="01"/>
    <w:family w:val="roman"/>
    <w:pitch w:val="variable"/>
  </w:font>
  <w:font w:name="sans-serif">
    <w:altName w:val="Arial"/>
    <w:charset w:val="01"/>
    <w:family w:val="auto"/>
    <w:pitch w:val="default"/>
  </w:font>
  <w:font w:name="HelveticaNeue-ThinCond">
    <w:charset w:val="01"/>
    <w:family w:val="roman"/>
    <w:pitch w:val="variable"/>
  </w:font>
  <w:font w:name="Wingdings3">
    <w:charset w:val="01"/>
    <w:family w:val="roman"/>
    <w:pitch w:val="variable"/>
  </w:font>
  <w:font w:name="Barlow-Bold">
    <w:charset w:val="01"/>
    <w:family w:val="roman"/>
    <w:pitch w:val="variable"/>
  </w:font>
  <w:font w:name="Aleo-Regular">
    <w:charset w:val="01"/>
    <w:family w:val="roman"/>
    <w:pitch w:val="variable"/>
  </w:font>
  <w:font w:name="Aleo-Regular">
    <w:charset w:val="01"/>
    <w:family w:val="auto"/>
    <w:pitch w:val="default"/>
  </w:font>
  <w:font w:name="Aleo-Bold">
    <w:charset w:val="01"/>
    <w:family w:val="roman"/>
    <w:pitch w:val="variable"/>
  </w:font>
  <w:font w:name="Barlow-Medium">
    <w:charset w:val="01"/>
    <w:family w:val="roman"/>
    <w:pitch w:val="variable"/>
  </w:font>
  <w:font w:name="Barlow-Italic">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5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4"/>
        <w:szCs w:val="24"/>
        <w:lang w:val="fr-FR"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Mangal"/>
      <w:color w:val="auto"/>
      <w:kern w:val="2"/>
      <w:sz w:val="24"/>
      <w:szCs w:val="24"/>
      <w:lang w:val="fr-FR" w:eastAsia="zh-CN" w:bidi="hi-IN"/>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Default">
    <w:name w:val="Default"/>
    <w:qFormat/>
    <w:pPr>
      <w:widowControl/>
      <w:kinsoku w:val="true"/>
      <w:overflowPunct w:val="true"/>
      <w:autoSpaceDE w:val="true"/>
      <w:bidi w:val="0"/>
      <w:jc w:val="left"/>
    </w:pPr>
    <w:rPr>
      <w:rFonts w:ascii="Segoe UI" w:hAnsi="Segoe UI" w:eastAsia="NSimSun" w:cs="Mangal"/>
      <w:color w:val="000000"/>
      <w:kern w:val="2"/>
      <w:sz w:val="24"/>
      <w:szCs w:val="24"/>
      <w:lang w:val="fr-FR" w:eastAsia="zh-CN" w:bidi="hi-IN"/>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2653</TotalTime>
  <Application>LibreOffice/7.3.7.2$Linux_X86_64 LibreOffice_project/30$Build-2</Application>
  <AppVersion>15.0000</AppVersion>
  <Pages>6</Pages>
  <Words>1861</Words>
  <Characters>9289</Characters>
  <CharactersWithSpaces>11286</CharactersWithSpaces>
  <Paragraphs>159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2018-04-18T13:19:00Z</dcterms:created>
  <dc:creator>PC-27</dc:creator>
  <dc:description/>
  <dc:language>fr-FR</dc:language>
  <cp:lastModifiedBy/>
  <cp:lastPrinted>2023-02-10T12:02:23Z</cp:lastPrinted>
  <dcterms:modified xsi:type="dcterms:W3CDTF">2023-03-01T18:13:17Z</dcterms:modified>
  <cp:revision>67</cp:revision>
  <dc:subject/>
  <dc:title>Les orientations stratégiques du SMD3 pour préparer 2025</dc:title>
</cp:coreProperties>
</file>